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1FFB" w14:textId="77777777" w:rsidR="001218AD" w:rsidRPr="006044D8" w:rsidRDefault="001218AD" w:rsidP="001218AD">
      <w:pPr>
        <w:widowControl/>
        <w:spacing w:line="570" w:lineRule="exact"/>
        <w:jc w:val="left"/>
        <w:rPr>
          <w:rFonts w:ascii="方正黑体简体" w:eastAsia="方正黑体简体"/>
          <w:sz w:val="32"/>
          <w:szCs w:val="32"/>
        </w:rPr>
      </w:pPr>
      <w:r w:rsidRPr="006044D8">
        <w:rPr>
          <w:rFonts w:ascii="方正黑体简体" w:eastAsia="方正黑体简体" w:hint="eastAsia"/>
          <w:sz w:val="32"/>
          <w:szCs w:val="32"/>
        </w:rPr>
        <w:t>附件</w:t>
      </w:r>
    </w:p>
    <w:p w14:paraId="69D4B214" w14:textId="77777777" w:rsidR="001218AD" w:rsidRDefault="001218AD" w:rsidP="001218AD">
      <w:pPr>
        <w:widowControl/>
        <w:spacing w:line="570" w:lineRule="exact"/>
        <w:jc w:val="left"/>
      </w:pPr>
      <w:r>
        <w:rPr>
          <w:rFonts w:hint="eastAsia"/>
        </w:rPr>
        <w:t xml:space="preserve"> </w:t>
      </w:r>
    </w:p>
    <w:p w14:paraId="1FC09790" w14:textId="77777777" w:rsidR="001218AD" w:rsidRDefault="001218AD" w:rsidP="001218AD">
      <w:pPr>
        <w:widowControl/>
        <w:spacing w:line="570" w:lineRule="exact"/>
        <w:jc w:val="center"/>
      </w:pPr>
      <w:r>
        <w:rPr>
          <w:rFonts w:ascii="方正小标宋简体" w:eastAsia="方正小标宋简体" w:hAnsi="Times New Roman" w:hint="eastAsia"/>
          <w:sz w:val="44"/>
          <w:szCs w:val="44"/>
        </w:rPr>
        <w:t>智能水表参数要求</w:t>
      </w:r>
    </w:p>
    <w:p w14:paraId="3A83312D" w14:textId="77777777" w:rsidR="001218AD" w:rsidRDefault="001218AD" w:rsidP="001218AD">
      <w:pPr>
        <w:widowControl/>
        <w:spacing w:line="570" w:lineRule="exact"/>
        <w:jc w:val="left"/>
      </w:pPr>
    </w:p>
    <w:tbl>
      <w:tblPr>
        <w:tblW w:w="10501" w:type="dxa"/>
        <w:tblInd w:w="-1026" w:type="dxa"/>
        <w:tblLook w:val="04A0" w:firstRow="1" w:lastRow="0" w:firstColumn="1" w:lastColumn="0" w:noHBand="0" w:noVBand="1"/>
      </w:tblPr>
      <w:tblGrid>
        <w:gridCol w:w="709"/>
        <w:gridCol w:w="1843"/>
        <w:gridCol w:w="4252"/>
        <w:gridCol w:w="720"/>
        <w:gridCol w:w="709"/>
        <w:gridCol w:w="2268"/>
      </w:tblGrid>
      <w:tr w:rsidR="001218AD" w:rsidRPr="001218AD" w14:paraId="29300F37" w14:textId="77777777" w:rsidTr="0040323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5839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6A7C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E07B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设备配置及技术参数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8275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B00D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A0FE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1218AD">
              <w:rPr>
                <w:rFonts w:ascii="Times New Roman" w:hAnsi="Times New Roman"/>
                <w:b/>
                <w:bCs/>
                <w:color w:val="000000"/>
                <w:szCs w:val="21"/>
              </w:rPr>
              <w:t>备注</w:t>
            </w:r>
          </w:p>
          <w:p w14:paraId="4967ABA1" w14:textId="48ABFC53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（安装地点）</w:t>
            </w:r>
          </w:p>
        </w:tc>
      </w:tr>
      <w:tr w:rsidR="001218AD" w:rsidRPr="001218AD" w14:paraId="1B6EFCAE" w14:textId="77777777" w:rsidTr="0040323C">
        <w:trPr>
          <w:trHeight w:val="1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6EA6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9C97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智能远传水表组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DN300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EDE" w14:textId="77777777" w:rsidR="001218AD" w:rsidRPr="001218AD" w:rsidRDefault="001218AD" w:rsidP="004032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(1)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规格：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DN300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(2)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精度：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级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(3)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连接方式：法兰连接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(4)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材质：球墨铸铁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 xml:space="preserve">                       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(5)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通讯方式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:NB-IoT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无线通讯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(6)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含：智能远传水表、表前阀、配套辅材、安装及调试。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3576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CF67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6C98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南门门卫室右侧绿化带、</w:t>
            </w:r>
            <w:proofErr w:type="gramStart"/>
            <w:r w:rsidRPr="001218AD">
              <w:rPr>
                <w:rFonts w:ascii="Times New Roman" w:hAnsi="Times New Roman"/>
                <w:color w:val="000000"/>
                <w:szCs w:val="21"/>
              </w:rPr>
              <w:t>七教背后</w:t>
            </w:r>
            <w:proofErr w:type="gramEnd"/>
            <w:r w:rsidRPr="001218AD">
              <w:rPr>
                <w:rFonts w:ascii="Times New Roman" w:hAnsi="Times New Roman"/>
                <w:color w:val="000000"/>
                <w:szCs w:val="21"/>
              </w:rPr>
              <w:t>大路边、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体育馆背后大路边、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号运动场旁边大路边、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2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号运动场旁边人行通道、学生公寓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栋前通道水表井内、</w:t>
            </w:r>
            <w:proofErr w:type="gramStart"/>
            <w:r w:rsidRPr="001218AD">
              <w:rPr>
                <w:rFonts w:ascii="Times New Roman" w:hAnsi="Times New Roman"/>
                <w:color w:val="000000"/>
                <w:szCs w:val="21"/>
              </w:rPr>
              <w:t>六教背后</w:t>
            </w:r>
            <w:proofErr w:type="gramEnd"/>
            <w:r w:rsidRPr="001218AD">
              <w:rPr>
                <w:rFonts w:ascii="Times New Roman" w:hAnsi="Times New Roman"/>
                <w:color w:val="000000"/>
                <w:szCs w:val="21"/>
              </w:rPr>
              <w:t>人行通道</w:t>
            </w:r>
          </w:p>
        </w:tc>
      </w:tr>
      <w:tr w:rsidR="001218AD" w:rsidRPr="001218AD" w14:paraId="75ABBE56" w14:textId="77777777" w:rsidTr="0040323C">
        <w:trPr>
          <w:trHeight w:val="18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63A0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9E62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智能远传水表组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  <w:t>DN200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E45A" w14:textId="77777777" w:rsidR="001218AD" w:rsidRPr="001218AD" w:rsidRDefault="001218AD" w:rsidP="004032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）型号：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DN200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；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）主要配置：智能远传水表、表前阀、配套辅材、安装及调试；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3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）通讯方式：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NB-IoT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；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）准确度等级为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级。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26DD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C1C8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D2CC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学生公寓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9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栋前人行道、二食堂前人行道上、学生公寓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5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栋背后道路上、学生服务中心旁绿化带</w:t>
            </w:r>
          </w:p>
        </w:tc>
      </w:tr>
      <w:tr w:rsidR="001218AD" w:rsidRPr="001218AD" w14:paraId="4A54449D" w14:textId="77777777" w:rsidTr="0040323C">
        <w:trPr>
          <w:trHeight w:val="1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EE77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392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配套土建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77CD" w14:textId="77777777" w:rsidR="001218AD" w:rsidRPr="001218AD" w:rsidRDefault="001218AD" w:rsidP="0040323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）参考井尺寸：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1500mm*1500mm*1500mm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±500mm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）配置：所有主材、井盖、辅料；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br/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（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3</w:t>
            </w:r>
            <w:r w:rsidRPr="001218AD">
              <w:rPr>
                <w:rFonts w:ascii="Times New Roman" w:hAnsi="Times New Roman"/>
                <w:color w:val="000000"/>
                <w:szCs w:val="21"/>
              </w:rPr>
              <w:t>）包含：挖方、回填、绿化土恢复、草皮、土方转运、人工、税费等所有费用。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AC32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C0E5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218AD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FD03" w14:textId="77777777" w:rsidR="001218AD" w:rsidRPr="001218AD" w:rsidRDefault="001218AD" w:rsidP="0040323C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4E65911F" w14:textId="77777777" w:rsidR="0082761E" w:rsidRDefault="0082761E"/>
    <w:sectPr w:rsidR="0082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AD"/>
    <w:rsid w:val="001218AD"/>
    <w:rsid w:val="0082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FFD9"/>
  <w15:chartTrackingRefBased/>
  <w15:docId w15:val="{9E70CE13-58B3-4BBD-8730-A5433C4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2024-09-26T01:53:00Z</dcterms:created>
  <dcterms:modified xsi:type="dcterms:W3CDTF">2024-09-26T01:54:00Z</dcterms:modified>
</cp:coreProperties>
</file>