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F0A5" w14:textId="066DC6F3" w:rsidR="005F4F7E" w:rsidRPr="006022BF" w:rsidRDefault="00A241C8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A241C8">
        <w:rPr>
          <w:rFonts w:ascii="方正仿宋简体" w:eastAsia="方正仿宋简体" w:hAnsi="宋体" w:hint="eastAsia"/>
          <w:b/>
          <w:sz w:val="28"/>
          <w:szCs w:val="28"/>
        </w:rPr>
        <w:t>成都大学19栋、20栋公寓及图书馆二次供水设备采购及维修保障服务项目</w:t>
      </w:r>
      <w:r>
        <w:rPr>
          <w:rFonts w:ascii="方正仿宋简体" w:eastAsia="方正仿宋简体" w:hAnsi="宋体" w:hint="eastAsia"/>
          <w:b/>
          <w:sz w:val="28"/>
          <w:szCs w:val="28"/>
        </w:rPr>
        <w:t>采购</w:t>
      </w:r>
      <w:r w:rsidR="005F4F7E" w:rsidRPr="006022BF">
        <w:rPr>
          <w:rFonts w:ascii="方正仿宋简体" w:eastAsia="方正仿宋简体" w:hAnsi="宋体" w:hint="eastAsia"/>
          <w:b/>
          <w:sz w:val="28"/>
          <w:szCs w:val="28"/>
        </w:rPr>
        <w:t>结果公示</w:t>
      </w:r>
    </w:p>
    <w:p w14:paraId="3F69B8C4" w14:textId="77777777"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14:paraId="55E21457" w14:textId="7F164B93" w:rsidR="005F4F7E" w:rsidRDefault="00A241C8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A241C8">
        <w:rPr>
          <w:rFonts w:ascii="方正仿宋简体" w:eastAsia="方正仿宋简体" w:hAnsi="宋体" w:hint="eastAsia"/>
          <w:sz w:val="28"/>
          <w:szCs w:val="28"/>
        </w:rPr>
        <w:t>成都大学19栋、20栋公寓及图书馆二次供水设备采购及维修保障服务项目</w:t>
      </w:r>
      <w:r w:rsidR="005F4F7E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>
        <w:rPr>
          <w:rFonts w:ascii="方正仿宋简体" w:eastAsia="方正仿宋简体" w:hAnsi="微软雅黑"/>
          <w:sz w:val="28"/>
          <w:szCs w:val="28"/>
        </w:rPr>
        <w:t>36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12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 w:rsidR="000362C9">
        <w:rPr>
          <w:rFonts w:ascii="方正仿宋简体" w:eastAsia="方正仿宋简体" w:hAnsi="微软雅黑" w:hint="eastAsia"/>
          <w:sz w:val="28"/>
          <w:szCs w:val="28"/>
        </w:rPr>
        <w:t>招标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室</w:t>
      </w:r>
      <w:proofErr w:type="gramEnd"/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</w:t>
      </w:r>
      <w:r w:rsidR="00A96C69">
        <w:rPr>
          <w:rFonts w:ascii="方正仿宋简体" w:eastAsia="方正仿宋简体" w:hAnsi="微软雅黑" w:hint="eastAsia"/>
          <w:bCs/>
          <w:sz w:val="28"/>
          <w:szCs w:val="28"/>
        </w:rPr>
        <w:t>时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递交响应文件的供应商有</w:t>
      </w:r>
      <w:r>
        <w:rPr>
          <w:rFonts w:ascii="方正仿宋简体" w:eastAsia="方正仿宋简体" w:hAnsi="微软雅黑"/>
          <w:bCs/>
          <w:sz w:val="28"/>
          <w:szCs w:val="28"/>
        </w:rPr>
        <w:t>4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。</w:t>
      </w:r>
      <w:r>
        <w:rPr>
          <w:rFonts w:ascii="方正仿宋简体" w:eastAsia="方正仿宋简体" w:hAnsi="微软雅黑"/>
          <w:color w:val="000000"/>
          <w:sz w:val="28"/>
          <w:szCs w:val="28"/>
        </w:rPr>
        <w:t xml:space="preserve"> </w:t>
      </w:r>
    </w:p>
    <w:p w14:paraId="5D331EFA" w14:textId="3C76144C"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通过资质审查的供应商</w:t>
      </w:r>
      <w:r w:rsidR="00A241C8">
        <w:rPr>
          <w:rFonts w:ascii="方正仿宋简体" w:eastAsia="方正仿宋简体" w:hAnsi="微软雅黑" w:hint="eastAsia"/>
          <w:bCs/>
          <w:sz w:val="28"/>
          <w:szCs w:val="28"/>
        </w:rPr>
        <w:t>不足3家，此次询价活动失败。</w:t>
      </w:r>
    </w:p>
    <w:p w14:paraId="36375013" w14:textId="77777777" w:rsidR="005F4F7E" w:rsidRDefault="005F4F7E" w:rsidP="005F4F7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</w:p>
    <w:p w14:paraId="0307A91F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公示期一个工作日</w:t>
      </w:r>
    </w:p>
    <w:p w14:paraId="57EFB0EC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监督电话：84616</w:t>
      </w:r>
      <w:r w:rsidRPr="000C0F52">
        <w:rPr>
          <w:rFonts w:ascii="方正仿宋简体" w:eastAsia="方正仿宋简体" w:hAnsi="微软雅黑"/>
          <w:bCs/>
          <w:sz w:val="28"/>
          <w:szCs w:val="28"/>
        </w:rPr>
        <w:t>643</w:t>
      </w:r>
    </w:p>
    <w:p w14:paraId="21634374" w14:textId="77777777"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81F6AF7" w14:textId="77777777" w:rsidR="000C0F52" w:rsidRDefault="000C0F52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14:paraId="68577DEA" w14:textId="77777777" w:rsid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F866155" w14:textId="77777777" w:rsidR="005F4F7E" w:rsidRDefault="005F4F7E" w:rsidP="0077142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14:paraId="6150E639" w14:textId="22C6EDAF" w:rsidR="005F4F7E" w:rsidRDefault="005F4F7E" w:rsidP="0077142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A241C8">
        <w:rPr>
          <w:rFonts w:ascii="方正仿宋简体" w:eastAsia="方正仿宋简体" w:hAnsi="微软雅黑"/>
          <w:bCs/>
          <w:sz w:val="28"/>
          <w:szCs w:val="28"/>
        </w:rPr>
        <w:t>7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A241C8">
        <w:rPr>
          <w:rFonts w:ascii="方正仿宋简体" w:eastAsia="方正仿宋简体" w:hAnsi="微软雅黑"/>
          <w:bCs/>
          <w:sz w:val="28"/>
          <w:szCs w:val="28"/>
        </w:rPr>
        <w:t>12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14:paraId="779D0BB8" w14:textId="77777777"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A700" w14:textId="77777777" w:rsidR="00EA0C86" w:rsidRDefault="00EA0C86"/>
  </w:endnote>
  <w:endnote w:type="continuationSeparator" w:id="0">
    <w:p w14:paraId="329E72F9" w14:textId="77777777" w:rsidR="00EA0C86" w:rsidRDefault="00EA0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9B91" w14:textId="77777777" w:rsidR="00EA0C86" w:rsidRDefault="00EA0C86"/>
  </w:footnote>
  <w:footnote w:type="continuationSeparator" w:id="0">
    <w:p w14:paraId="3B476797" w14:textId="77777777" w:rsidR="00EA0C86" w:rsidRDefault="00EA0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7E"/>
    <w:rsid w:val="000362C9"/>
    <w:rsid w:val="000C0F52"/>
    <w:rsid w:val="0035738F"/>
    <w:rsid w:val="003970C1"/>
    <w:rsid w:val="004D4CF8"/>
    <w:rsid w:val="005702E5"/>
    <w:rsid w:val="005F4F7E"/>
    <w:rsid w:val="006022BF"/>
    <w:rsid w:val="0077142E"/>
    <w:rsid w:val="009219C0"/>
    <w:rsid w:val="00952C2B"/>
    <w:rsid w:val="00A241C8"/>
    <w:rsid w:val="00A96C69"/>
    <w:rsid w:val="00B05F79"/>
    <w:rsid w:val="00B521AF"/>
    <w:rsid w:val="00C37CF8"/>
    <w:rsid w:val="00CE1C7C"/>
    <w:rsid w:val="00CE4EA8"/>
    <w:rsid w:val="00EA0C86"/>
    <w:rsid w:val="00F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D937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C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C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Company>P R 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13</cp:revision>
  <dcterms:created xsi:type="dcterms:W3CDTF">2024-05-16T01:16:00Z</dcterms:created>
  <dcterms:modified xsi:type="dcterms:W3CDTF">2024-07-12T03:27:00Z</dcterms:modified>
</cp:coreProperties>
</file>