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bookmarkStart w:id="1" w:name="_GoBack"/>
      <w:bookmarkEnd w:id="1"/>
    </w:p>
    <w:p>
      <w:pPr>
        <w:widowControl/>
        <w:jc w:val="left"/>
        <w:rPr>
          <w:rFonts w:ascii="方正黑体简体" w:hAnsi="宋体" w:eastAsia="方正黑体简体" w:cs="宋体"/>
          <w:sz w:val="28"/>
          <w:szCs w:val="28"/>
        </w:rPr>
      </w:pPr>
      <w:r>
        <w:rPr>
          <w:rFonts w:hint="eastAsia" w:ascii="方正黑体简体" w:hAnsi="宋体" w:eastAsia="方正黑体简体" w:cs="宋体"/>
          <w:sz w:val="28"/>
          <w:szCs w:val="28"/>
        </w:rPr>
        <w:t>附件1</w:t>
      </w:r>
    </w:p>
    <w:p>
      <w:pPr>
        <w:spacing w:line="570" w:lineRule="exact"/>
        <w:ind w:left="640"/>
        <w:jc w:val="center"/>
        <w:rPr>
          <w:rFonts w:ascii="宋体" w:hAnsi="宋体"/>
          <w:b/>
          <w:kern w:val="0"/>
          <w:sz w:val="30"/>
          <w:szCs w:val="30"/>
        </w:rPr>
      </w:pPr>
      <w:r>
        <w:rPr>
          <w:rFonts w:hint="eastAsia"/>
          <w:b/>
          <w:sz w:val="30"/>
          <w:szCs w:val="30"/>
        </w:rPr>
        <w:t>成都大学国有资产管理系统</w:t>
      </w:r>
      <w:r>
        <w:rPr>
          <w:rFonts w:hint="eastAsia" w:ascii="宋体" w:hAnsi="宋体"/>
          <w:b/>
          <w:kern w:val="0"/>
          <w:sz w:val="30"/>
          <w:szCs w:val="30"/>
        </w:rPr>
        <w:t>升级内容</w:t>
      </w:r>
    </w:p>
    <w:p>
      <w:pPr>
        <w:spacing w:line="570" w:lineRule="exact"/>
        <w:ind w:left="640"/>
        <w:rPr>
          <w:rFonts w:ascii="宋体" w:hAnsi="宋体"/>
          <w:kern w:val="0"/>
        </w:rPr>
      </w:pPr>
      <w:r>
        <w:rPr>
          <w:rFonts w:hint="eastAsia" w:ascii="宋体" w:hAnsi="宋体"/>
          <w:kern w:val="0"/>
        </w:rPr>
        <w:t>（一）系统版本升级</w:t>
      </w:r>
    </w:p>
    <w:p>
      <w:pPr>
        <w:spacing w:line="570" w:lineRule="exact"/>
        <w:ind w:firstLine="640"/>
        <w:rPr>
          <w:rFonts w:ascii="宋体" w:hAnsi="宋体"/>
          <w:kern w:val="0"/>
        </w:rPr>
      </w:pPr>
      <w:r>
        <w:rPr>
          <w:rFonts w:hint="eastAsia" w:ascii="宋体" w:hAnsi="宋体"/>
          <w:kern w:val="0"/>
        </w:rPr>
        <w:t>由成都思必得信息技术有限公司于2</w:t>
      </w:r>
      <w:r>
        <w:rPr>
          <w:rFonts w:ascii="宋体" w:hAnsi="宋体"/>
          <w:kern w:val="0"/>
        </w:rPr>
        <w:t>016</w:t>
      </w:r>
      <w:r>
        <w:rPr>
          <w:rFonts w:hint="eastAsia" w:ascii="宋体" w:hAnsi="宋体"/>
          <w:kern w:val="0"/>
        </w:rPr>
        <w:t>年建设的国有资产管理系统，经过近6年的运行，原有系统已不能满足现行要求。经过调研确认，需先进行系统大版本升级，系统才能满足本次与天财财务系统衔接运行的条件。</w:t>
      </w:r>
    </w:p>
    <w:p>
      <w:pPr>
        <w:spacing w:line="570" w:lineRule="exact"/>
        <w:ind w:firstLine="640"/>
        <w:rPr>
          <w:rFonts w:ascii="宋体" w:hAnsi="宋体"/>
          <w:kern w:val="0"/>
        </w:rPr>
      </w:pPr>
      <w:r>
        <w:rPr>
          <w:rFonts w:hint="eastAsia" w:ascii="宋体" w:hAnsi="宋体"/>
          <w:kern w:val="0"/>
        </w:rPr>
        <w:t>2</w:t>
      </w:r>
      <w:r>
        <w:rPr>
          <w:rFonts w:ascii="宋体" w:hAnsi="宋体"/>
          <w:kern w:val="0"/>
        </w:rPr>
        <w:t>016</w:t>
      </w:r>
      <w:r>
        <w:rPr>
          <w:rFonts w:hint="eastAsia" w:ascii="宋体" w:hAnsi="宋体"/>
          <w:kern w:val="0"/>
        </w:rPr>
        <w:t>年建设的思必得资产管理系统版本为6</w:t>
      </w:r>
      <w:r>
        <w:rPr>
          <w:rFonts w:ascii="宋体" w:hAnsi="宋体"/>
          <w:kern w:val="0"/>
        </w:rPr>
        <w:t>.1</w:t>
      </w:r>
      <w:r>
        <w:rPr>
          <w:rFonts w:hint="eastAsia" w:ascii="宋体" w:hAnsi="宋体"/>
          <w:kern w:val="0"/>
        </w:rPr>
        <w:t>，本次升级版本为6</w:t>
      </w:r>
      <w:r>
        <w:rPr>
          <w:rFonts w:ascii="宋体" w:hAnsi="宋体"/>
          <w:kern w:val="0"/>
        </w:rPr>
        <w:t>.4</w:t>
      </w:r>
      <w:r>
        <w:rPr>
          <w:rFonts w:hint="eastAsia" w:ascii="宋体" w:hAnsi="宋体"/>
          <w:kern w:val="0"/>
        </w:rPr>
        <w:t>，版本升级内容主要有：新增及优化功能、B</w:t>
      </w:r>
      <w:r>
        <w:rPr>
          <w:rFonts w:ascii="宋体" w:hAnsi="宋体"/>
          <w:kern w:val="0"/>
        </w:rPr>
        <w:t>UG</w:t>
      </w:r>
      <w:r>
        <w:rPr>
          <w:rFonts w:hint="eastAsia" w:ascii="宋体" w:hAnsi="宋体"/>
          <w:kern w:val="0"/>
        </w:rPr>
        <w:t>修复、相关数据库的调整，具体版本升级内容如下：</w:t>
      </w:r>
    </w:p>
    <w:p>
      <w:pPr>
        <w:spacing w:line="570" w:lineRule="exact"/>
        <w:ind w:firstLine="640"/>
        <w:rPr>
          <w:rFonts w:ascii="宋体" w:hAnsi="宋体"/>
          <w:kern w:val="0"/>
        </w:rPr>
      </w:pPr>
      <w:r>
        <w:rPr>
          <w:rFonts w:hint="eastAsia" w:ascii="宋体" w:hAnsi="宋体"/>
          <w:kern w:val="0"/>
        </w:rPr>
        <w:t>1. 产品新增及功能优化</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1147"/>
        <w:gridCol w:w="796"/>
        <w:gridCol w:w="5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000000" w:fill="D9D9D9"/>
            <w:noWrap/>
            <w:vAlign w:val="center"/>
          </w:tcPr>
          <w:p>
            <w:pPr>
              <w:widowControl/>
              <w:spacing w:line="300" w:lineRule="exact"/>
              <w:jc w:val="center"/>
              <w:rPr>
                <w:rFonts w:ascii="宋体" w:hAnsi="宋体"/>
                <w:kern w:val="0"/>
              </w:rPr>
            </w:pPr>
            <w:r>
              <w:rPr>
                <w:rFonts w:ascii="宋体" w:hAnsi="宋体"/>
                <w:kern w:val="0"/>
              </w:rPr>
              <w:t>编号</w:t>
            </w:r>
          </w:p>
        </w:tc>
        <w:tc>
          <w:tcPr>
            <w:tcW w:w="1107" w:type="dxa"/>
            <w:shd w:val="clear" w:color="000000" w:fill="D9D9D9"/>
            <w:noWrap/>
            <w:vAlign w:val="center"/>
          </w:tcPr>
          <w:p>
            <w:pPr>
              <w:widowControl/>
              <w:spacing w:line="300" w:lineRule="exact"/>
              <w:jc w:val="center"/>
              <w:rPr>
                <w:rFonts w:ascii="宋体" w:hAnsi="宋体"/>
                <w:kern w:val="0"/>
              </w:rPr>
            </w:pPr>
            <w:r>
              <w:rPr>
                <w:rFonts w:ascii="宋体" w:hAnsi="宋体"/>
                <w:kern w:val="0"/>
              </w:rPr>
              <w:t>功能模块</w:t>
            </w:r>
          </w:p>
        </w:tc>
        <w:tc>
          <w:tcPr>
            <w:tcW w:w="768" w:type="dxa"/>
            <w:shd w:val="clear" w:color="000000" w:fill="D9D9D9"/>
            <w:noWrap/>
            <w:vAlign w:val="center"/>
          </w:tcPr>
          <w:p>
            <w:pPr>
              <w:widowControl/>
              <w:spacing w:line="300" w:lineRule="exact"/>
              <w:jc w:val="center"/>
              <w:rPr>
                <w:rFonts w:ascii="宋体" w:hAnsi="宋体"/>
                <w:kern w:val="0"/>
              </w:rPr>
            </w:pPr>
            <w:r>
              <w:rPr>
                <w:rFonts w:ascii="宋体" w:hAnsi="宋体"/>
                <w:kern w:val="0"/>
              </w:rPr>
              <w:t>类别</w:t>
            </w:r>
          </w:p>
        </w:tc>
        <w:tc>
          <w:tcPr>
            <w:tcW w:w="5638" w:type="dxa"/>
            <w:shd w:val="clear" w:color="000000" w:fill="D9D9D9"/>
            <w:noWrap/>
            <w:vAlign w:val="center"/>
          </w:tcPr>
          <w:p>
            <w:pPr>
              <w:widowControl/>
              <w:spacing w:line="300" w:lineRule="exact"/>
              <w:jc w:val="center"/>
              <w:rPr>
                <w:rFonts w:ascii="宋体" w:hAnsi="宋体"/>
                <w:kern w:val="0"/>
              </w:rPr>
            </w:pPr>
            <w:r>
              <w:rPr>
                <w:rFonts w:ascii="宋体" w:hAnsi="宋体"/>
                <w:kern w:val="0"/>
              </w:rPr>
              <w:t>功能概要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1</w:t>
            </w:r>
          </w:p>
        </w:tc>
        <w:tc>
          <w:tcPr>
            <w:tcW w:w="1107" w:type="dxa"/>
            <w:shd w:val="clear" w:color="auto" w:fill="auto"/>
            <w:noWrap/>
            <w:vAlign w:val="center"/>
          </w:tcPr>
          <w:p>
            <w:pPr>
              <w:widowControl/>
              <w:spacing w:line="300" w:lineRule="exact"/>
              <w:jc w:val="center"/>
              <w:rPr>
                <w:rFonts w:ascii="宋体" w:hAnsi="宋体"/>
                <w:kern w:val="0"/>
              </w:rPr>
            </w:pPr>
            <w:r>
              <w:rPr>
                <w:rFonts w:ascii="宋体" w:hAnsi="宋体"/>
                <w:kern w:val="0"/>
              </w:rPr>
              <w:t>升级优化</w:t>
            </w: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功能优化</w:t>
            </w:r>
          </w:p>
        </w:tc>
        <w:tc>
          <w:tcPr>
            <w:tcW w:w="5638" w:type="dxa"/>
            <w:shd w:val="clear" w:color="auto" w:fill="auto"/>
            <w:noWrap/>
            <w:vAlign w:val="center"/>
          </w:tcPr>
          <w:p>
            <w:pPr>
              <w:widowControl/>
              <w:spacing w:line="300" w:lineRule="exact"/>
              <w:rPr>
                <w:rFonts w:ascii="宋体" w:hAnsi="宋体"/>
                <w:kern w:val="0"/>
              </w:rPr>
            </w:pPr>
            <w:r>
              <w:rPr>
                <w:rFonts w:ascii="宋体" w:hAnsi="宋体"/>
                <w:kern w:val="0"/>
              </w:rPr>
              <w:t>各模块(建帐，特种设备、耗材除外)能够进行独立的JAR包升级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2</w:t>
            </w:r>
          </w:p>
        </w:tc>
        <w:tc>
          <w:tcPr>
            <w:tcW w:w="1107" w:type="dxa"/>
            <w:shd w:val="clear" w:color="auto" w:fill="auto"/>
            <w:noWrap/>
            <w:vAlign w:val="center"/>
          </w:tcPr>
          <w:p>
            <w:pPr>
              <w:widowControl/>
              <w:spacing w:line="300" w:lineRule="exact"/>
              <w:jc w:val="center"/>
              <w:rPr>
                <w:rFonts w:ascii="宋体" w:hAnsi="宋体"/>
                <w:kern w:val="0"/>
              </w:rPr>
            </w:pPr>
            <w:r>
              <w:rPr>
                <w:rFonts w:ascii="宋体" w:hAnsi="宋体"/>
                <w:kern w:val="0"/>
              </w:rPr>
              <w:t>权限配置</w:t>
            </w: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功能优化</w:t>
            </w:r>
          </w:p>
        </w:tc>
        <w:tc>
          <w:tcPr>
            <w:tcW w:w="5638" w:type="dxa"/>
            <w:shd w:val="clear" w:color="auto" w:fill="auto"/>
            <w:noWrap/>
            <w:vAlign w:val="center"/>
          </w:tcPr>
          <w:p>
            <w:pPr>
              <w:widowControl/>
              <w:spacing w:line="300" w:lineRule="exact"/>
              <w:rPr>
                <w:rFonts w:ascii="宋体" w:hAnsi="宋体"/>
                <w:kern w:val="0"/>
              </w:rPr>
            </w:pPr>
            <w:r>
              <w:rPr>
                <w:rFonts w:ascii="宋体" w:hAnsi="宋体"/>
                <w:kern w:val="0"/>
              </w:rPr>
              <w:t>各模块的权限能够进行单独配置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3</w:t>
            </w:r>
          </w:p>
        </w:tc>
        <w:tc>
          <w:tcPr>
            <w:tcW w:w="1107" w:type="dxa"/>
            <w:shd w:val="clear" w:color="auto" w:fill="auto"/>
            <w:noWrap/>
            <w:vAlign w:val="center"/>
          </w:tcPr>
          <w:p>
            <w:pPr>
              <w:widowControl/>
              <w:spacing w:line="300" w:lineRule="exact"/>
              <w:jc w:val="center"/>
              <w:rPr>
                <w:rFonts w:ascii="宋体" w:hAnsi="宋体"/>
                <w:kern w:val="0"/>
              </w:rPr>
            </w:pPr>
            <w:r>
              <w:rPr>
                <w:rFonts w:ascii="宋体" w:hAnsi="宋体"/>
                <w:kern w:val="0"/>
              </w:rPr>
              <w:t>建账模块</w:t>
            </w: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功能优化</w:t>
            </w:r>
          </w:p>
        </w:tc>
        <w:tc>
          <w:tcPr>
            <w:tcW w:w="5638" w:type="dxa"/>
            <w:shd w:val="clear" w:color="auto" w:fill="auto"/>
            <w:noWrap/>
            <w:vAlign w:val="center"/>
          </w:tcPr>
          <w:p>
            <w:pPr>
              <w:widowControl/>
              <w:spacing w:line="300" w:lineRule="exact"/>
              <w:rPr>
                <w:rFonts w:ascii="宋体" w:hAnsi="宋体"/>
                <w:kern w:val="0"/>
              </w:rPr>
            </w:pPr>
            <w:r>
              <w:rPr>
                <w:rFonts w:ascii="宋体" w:hAnsi="宋体"/>
                <w:kern w:val="0"/>
              </w:rPr>
              <w:t>无形资产软件建账分类号选择优化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4</w:t>
            </w:r>
          </w:p>
        </w:tc>
        <w:tc>
          <w:tcPr>
            <w:tcW w:w="1107" w:type="dxa"/>
            <w:shd w:val="clear" w:color="auto" w:fill="auto"/>
            <w:noWrap/>
            <w:vAlign w:val="center"/>
          </w:tcPr>
          <w:p>
            <w:pPr>
              <w:widowControl/>
              <w:spacing w:line="300" w:lineRule="exact"/>
              <w:jc w:val="center"/>
              <w:rPr>
                <w:rFonts w:ascii="宋体" w:hAnsi="宋体"/>
                <w:kern w:val="0"/>
              </w:rPr>
            </w:pPr>
            <w:r>
              <w:rPr>
                <w:rFonts w:ascii="宋体" w:hAnsi="宋体"/>
                <w:kern w:val="0"/>
              </w:rPr>
              <w:t>资产查询</w:t>
            </w: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功能优化</w:t>
            </w:r>
          </w:p>
        </w:tc>
        <w:tc>
          <w:tcPr>
            <w:tcW w:w="5638" w:type="dxa"/>
            <w:shd w:val="clear" w:color="auto" w:fill="auto"/>
            <w:noWrap/>
            <w:vAlign w:val="center"/>
          </w:tcPr>
          <w:p>
            <w:pPr>
              <w:widowControl/>
              <w:spacing w:line="300" w:lineRule="exact"/>
              <w:rPr>
                <w:rFonts w:ascii="宋体" w:hAnsi="宋体"/>
                <w:kern w:val="0"/>
              </w:rPr>
            </w:pPr>
            <w:r>
              <w:rPr>
                <w:rFonts w:ascii="宋体" w:hAnsi="宋体"/>
                <w:kern w:val="0"/>
              </w:rPr>
              <w:t>单位、主管业务资产账目查询优化，提升资产账目查询效率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5</w:t>
            </w:r>
          </w:p>
        </w:tc>
        <w:tc>
          <w:tcPr>
            <w:tcW w:w="1107" w:type="dxa"/>
            <w:vMerge w:val="restart"/>
            <w:shd w:val="clear" w:color="auto" w:fill="auto"/>
            <w:noWrap/>
            <w:vAlign w:val="center"/>
          </w:tcPr>
          <w:p>
            <w:pPr>
              <w:widowControl/>
              <w:spacing w:line="300" w:lineRule="exact"/>
              <w:jc w:val="center"/>
              <w:rPr>
                <w:rFonts w:ascii="宋体" w:hAnsi="宋体"/>
                <w:kern w:val="0"/>
              </w:rPr>
            </w:pPr>
            <w:r>
              <w:rPr>
                <w:rFonts w:ascii="宋体" w:hAnsi="宋体"/>
                <w:kern w:val="0"/>
              </w:rPr>
              <w:t>财务接口</w:t>
            </w: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新增功能</w:t>
            </w:r>
          </w:p>
        </w:tc>
        <w:tc>
          <w:tcPr>
            <w:tcW w:w="5638" w:type="dxa"/>
            <w:shd w:val="clear" w:color="auto" w:fill="auto"/>
            <w:noWrap/>
            <w:vAlign w:val="center"/>
          </w:tcPr>
          <w:p>
            <w:pPr>
              <w:widowControl/>
              <w:spacing w:line="300" w:lineRule="exact"/>
              <w:rPr>
                <w:rFonts w:ascii="宋体" w:hAnsi="宋体"/>
                <w:kern w:val="0"/>
              </w:rPr>
            </w:pPr>
            <w:r>
              <w:rPr>
                <w:rFonts w:ascii="宋体" w:hAnsi="宋体"/>
                <w:kern w:val="0"/>
              </w:rPr>
              <w:t>天财接口耗材、低值插拔式控制发财务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6</w:t>
            </w:r>
          </w:p>
        </w:tc>
        <w:tc>
          <w:tcPr>
            <w:tcW w:w="1107" w:type="dxa"/>
            <w:vMerge w:val="continue"/>
            <w:vAlign w:val="center"/>
          </w:tcPr>
          <w:p>
            <w:pPr>
              <w:widowControl/>
              <w:spacing w:line="300" w:lineRule="exact"/>
              <w:rPr>
                <w:rFonts w:ascii="宋体" w:hAnsi="宋体"/>
                <w:kern w:val="0"/>
              </w:rPr>
            </w:pP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新增功能</w:t>
            </w:r>
          </w:p>
        </w:tc>
        <w:tc>
          <w:tcPr>
            <w:tcW w:w="5638" w:type="dxa"/>
            <w:shd w:val="clear" w:color="auto" w:fill="auto"/>
            <w:noWrap/>
            <w:vAlign w:val="center"/>
          </w:tcPr>
          <w:p>
            <w:pPr>
              <w:widowControl/>
              <w:spacing w:line="300" w:lineRule="exact"/>
              <w:rPr>
                <w:rFonts w:ascii="宋体" w:hAnsi="宋体"/>
                <w:kern w:val="0"/>
              </w:rPr>
            </w:pPr>
            <w:r>
              <w:rPr>
                <w:rFonts w:ascii="宋体" w:hAnsi="宋体"/>
                <w:kern w:val="0"/>
              </w:rPr>
              <w:t>支持天财接口模式优化：资产系统不填写财务报账信息，财务报账信息跳转财务系统页面填写模式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7</w:t>
            </w:r>
          </w:p>
        </w:tc>
        <w:tc>
          <w:tcPr>
            <w:tcW w:w="1107" w:type="dxa"/>
            <w:vMerge w:val="continue"/>
            <w:vAlign w:val="center"/>
          </w:tcPr>
          <w:p>
            <w:pPr>
              <w:widowControl/>
              <w:spacing w:line="300" w:lineRule="exact"/>
              <w:rPr>
                <w:rFonts w:ascii="宋体" w:hAnsi="宋体"/>
                <w:kern w:val="0"/>
              </w:rPr>
            </w:pP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功能优化</w:t>
            </w:r>
          </w:p>
        </w:tc>
        <w:tc>
          <w:tcPr>
            <w:tcW w:w="5638" w:type="dxa"/>
            <w:shd w:val="clear" w:color="auto" w:fill="auto"/>
            <w:noWrap/>
            <w:vAlign w:val="center"/>
          </w:tcPr>
          <w:p>
            <w:pPr>
              <w:widowControl/>
              <w:spacing w:line="300" w:lineRule="exact"/>
              <w:rPr>
                <w:rFonts w:ascii="宋体" w:hAnsi="宋体"/>
                <w:kern w:val="0"/>
              </w:rPr>
            </w:pPr>
            <w:r>
              <w:rPr>
                <w:rFonts w:ascii="宋体" w:hAnsi="宋体"/>
                <w:kern w:val="0"/>
              </w:rPr>
              <w:t>天翼财务接口功能完善（价值增减、调拨、处置汇总、退库、折旧实现和财务对接）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8</w:t>
            </w:r>
          </w:p>
        </w:tc>
        <w:tc>
          <w:tcPr>
            <w:tcW w:w="1107" w:type="dxa"/>
            <w:vMerge w:val="restart"/>
            <w:shd w:val="clear" w:color="auto" w:fill="auto"/>
            <w:noWrap/>
            <w:vAlign w:val="center"/>
          </w:tcPr>
          <w:p>
            <w:pPr>
              <w:widowControl/>
              <w:spacing w:line="300" w:lineRule="exact"/>
              <w:jc w:val="center"/>
              <w:rPr>
                <w:rFonts w:ascii="宋体" w:hAnsi="宋体"/>
                <w:kern w:val="0"/>
              </w:rPr>
            </w:pPr>
            <w:r>
              <w:rPr>
                <w:rFonts w:ascii="宋体" w:hAnsi="宋体"/>
                <w:kern w:val="0"/>
              </w:rPr>
              <w:t>资产财务对账</w:t>
            </w: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功能优化</w:t>
            </w:r>
          </w:p>
        </w:tc>
        <w:tc>
          <w:tcPr>
            <w:tcW w:w="5638" w:type="dxa"/>
            <w:shd w:val="clear" w:color="auto" w:fill="auto"/>
            <w:noWrap/>
            <w:vAlign w:val="center"/>
          </w:tcPr>
          <w:p>
            <w:pPr>
              <w:widowControl/>
              <w:spacing w:line="300" w:lineRule="exact"/>
              <w:rPr>
                <w:rFonts w:ascii="宋体" w:hAnsi="宋体"/>
                <w:kern w:val="0"/>
              </w:rPr>
            </w:pPr>
            <w:r>
              <w:rPr>
                <w:rFonts w:ascii="宋体" w:hAnsi="宋体"/>
                <w:kern w:val="0"/>
              </w:rPr>
              <w:t>财务凭证数据导入优化（自定义模板导入支持了更多的excel模板格式）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9</w:t>
            </w:r>
          </w:p>
        </w:tc>
        <w:tc>
          <w:tcPr>
            <w:tcW w:w="1107" w:type="dxa"/>
            <w:vMerge w:val="continue"/>
            <w:vAlign w:val="center"/>
          </w:tcPr>
          <w:p>
            <w:pPr>
              <w:widowControl/>
              <w:spacing w:line="300" w:lineRule="exact"/>
              <w:rPr>
                <w:rFonts w:ascii="宋体" w:hAnsi="宋体"/>
                <w:kern w:val="0"/>
              </w:rPr>
            </w:pP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新增功能</w:t>
            </w:r>
          </w:p>
        </w:tc>
        <w:tc>
          <w:tcPr>
            <w:tcW w:w="5638" w:type="dxa"/>
            <w:shd w:val="clear" w:color="auto" w:fill="auto"/>
            <w:noWrap/>
            <w:vAlign w:val="center"/>
          </w:tcPr>
          <w:p>
            <w:pPr>
              <w:widowControl/>
              <w:spacing w:line="300" w:lineRule="exact"/>
              <w:rPr>
                <w:rFonts w:ascii="宋体" w:hAnsi="宋体"/>
                <w:kern w:val="0"/>
              </w:rPr>
            </w:pPr>
            <w:r>
              <w:rPr>
                <w:rFonts w:ascii="宋体" w:hAnsi="宋体"/>
                <w:kern w:val="0"/>
              </w:rPr>
              <w:t>支持资产国标分类与财务科目核对（配置国标分类与财务科目对应关系后可对国标分类与财务科目核对功能）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10</w:t>
            </w:r>
          </w:p>
        </w:tc>
        <w:tc>
          <w:tcPr>
            <w:tcW w:w="1107" w:type="dxa"/>
            <w:vMerge w:val="restart"/>
            <w:shd w:val="clear" w:color="auto" w:fill="auto"/>
            <w:noWrap/>
            <w:vAlign w:val="center"/>
          </w:tcPr>
          <w:p>
            <w:pPr>
              <w:widowControl/>
              <w:spacing w:line="300" w:lineRule="exact"/>
              <w:jc w:val="center"/>
              <w:rPr>
                <w:rFonts w:ascii="宋体" w:hAnsi="宋体"/>
                <w:kern w:val="0"/>
              </w:rPr>
            </w:pPr>
            <w:r>
              <w:rPr>
                <w:rFonts w:ascii="宋体" w:hAnsi="宋体"/>
                <w:kern w:val="0"/>
              </w:rPr>
              <w:t>资产折旧摊销</w:t>
            </w: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新增功能</w:t>
            </w:r>
          </w:p>
        </w:tc>
        <w:tc>
          <w:tcPr>
            <w:tcW w:w="5638" w:type="dxa"/>
            <w:shd w:val="clear" w:color="auto" w:fill="auto"/>
            <w:noWrap/>
            <w:vAlign w:val="center"/>
          </w:tcPr>
          <w:p>
            <w:pPr>
              <w:widowControl/>
              <w:spacing w:line="300" w:lineRule="exact"/>
              <w:rPr>
                <w:rFonts w:ascii="宋体" w:hAnsi="宋体"/>
                <w:kern w:val="0"/>
              </w:rPr>
            </w:pPr>
            <w:r>
              <w:rPr>
                <w:rFonts w:ascii="宋体" w:hAnsi="宋体"/>
                <w:kern w:val="0"/>
              </w:rPr>
              <w:t>增加补提折旧摊销功能（当月计提完成后，可对漏提资产进行折旧状态修改和补提）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11</w:t>
            </w:r>
          </w:p>
        </w:tc>
        <w:tc>
          <w:tcPr>
            <w:tcW w:w="1107" w:type="dxa"/>
            <w:vMerge w:val="continue"/>
            <w:vAlign w:val="center"/>
          </w:tcPr>
          <w:p>
            <w:pPr>
              <w:widowControl/>
              <w:spacing w:line="300" w:lineRule="exact"/>
              <w:rPr>
                <w:rFonts w:ascii="宋体" w:hAnsi="宋体"/>
                <w:kern w:val="0"/>
              </w:rPr>
            </w:pP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功能优化</w:t>
            </w:r>
          </w:p>
        </w:tc>
        <w:tc>
          <w:tcPr>
            <w:tcW w:w="5638" w:type="dxa"/>
            <w:shd w:val="clear" w:color="auto" w:fill="auto"/>
            <w:vAlign w:val="center"/>
          </w:tcPr>
          <w:p>
            <w:pPr>
              <w:widowControl/>
              <w:spacing w:line="300" w:lineRule="exact"/>
              <w:rPr>
                <w:rFonts w:ascii="宋体" w:hAnsi="宋体"/>
                <w:kern w:val="0"/>
              </w:rPr>
            </w:pPr>
            <w:r>
              <w:rPr>
                <w:rFonts w:ascii="宋体" w:hAnsi="宋体"/>
                <w:kern w:val="0"/>
              </w:rPr>
              <w:t>增减变动报表优化，增减归属、类别变动数据体现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12</w:t>
            </w:r>
          </w:p>
        </w:tc>
        <w:tc>
          <w:tcPr>
            <w:tcW w:w="1107" w:type="dxa"/>
            <w:vMerge w:val="continue"/>
            <w:vAlign w:val="center"/>
          </w:tcPr>
          <w:p>
            <w:pPr>
              <w:widowControl/>
              <w:spacing w:line="300" w:lineRule="exact"/>
              <w:rPr>
                <w:rFonts w:ascii="宋体" w:hAnsi="宋体"/>
                <w:kern w:val="0"/>
              </w:rPr>
            </w:pP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功能优化</w:t>
            </w:r>
          </w:p>
        </w:tc>
        <w:tc>
          <w:tcPr>
            <w:tcW w:w="5638" w:type="dxa"/>
            <w:shd w:val="clear" w:color="auto" w:fill="auto"/>
            <w:vAlign w:val="center"/>
          </w:tcPr>
          <w:p>
            <w:pPr>
              <w:widowControl/>
              <w:spacing w:line="300" w:lineRule="exact"/>
              <w:rPr>
                <w:rFonts w:ascii="宋体" w:hAnsi="宋体"/>
                <w:kern w:val="0"/>
              </w:rPr>
            </w:pPr>
            <w:r>
              <w:rPr>
                <w:rFonts w:ascii="宋体" w:hAnsi="宋体"/>
                <w:kern w:val="0"/>
              </w:rPr>
              <w:t>无形资产摊销年限初始化优化，提供无形资产年限修改功能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13</w:t>
            </w:r>
          </w:p>
        </w:tc>
        <w:tc>
          <w:tcPr>
            <w:tcW w:w="1107" w:type="dxa"/>
            <w:vMerge w:val="continue"/>
            <w:vAlign w:val="center"/>
          </w:tcPr>
          <w:p>
            <w:pPr>
              <w:widowControl/>
              <w:spacing w:line="300" w:lineRule="exact"/>
              <w:rPr>
                <w:rFonts w:ascii="宋体" w:hAnsi="宋体"/>
                <w:kern w:val="0"/>
              </w:rPr>
            </w:pP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功能优化</w:t>
            </w:r>
          </w:p>
        </w:tc>
        <w:tc>
          <w:tcPr>
            <w:tcW w:w="5638" w:type="dxa"/>
            <w:shd w:val="clear" w:color="auto" w:fill="auto"/>
            <w:vAlign w:val="center"/>
          </w:tcPr>
          <w:p>
            <w:pPr>
              <w:widowControl/>
              <w:spacing w:line="300" w:lineRule="exact"/>
              <w:rPr>
                <w:rFonts w:ascii="宋体" w:hAnsi="宋体"/>
                <w:kern w:val="0"/>
              </w:rPr>
            </w:pPr>
            <w:r>
              <w:rPr>
                <w:rFonts w:ascii="宋体" w:hAnsi="宋体"/>
                <w:kern w:val="0"/>
              </w:rPr>
              <w:t>家具确认增加资产归属条件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14</w:t>
            </w:r>
          </w:p>
        </w:tc>
        <w:tc>
          <w:tcPr>
            <w:tcW w:w="1107" w:type="dxa"/>
            <w:vMerge w:val="restart"/>
            <w:shd w:val="clear" w:color="auto" w:fill="auto"/>
            <w:noWrap/>
            <w:vAlign w:val="center"/>
          </w:tcPr>
          <w:p>
            <w:pPr>
              <w:widowControl/>
              <w:spacing w:line="300" w:lineRule="exact"/>
              <w:jc w:val="center"/>
              <w:rPr>
                <w:rFonts w:ascii="宋体" w:hAnsi="宋体"/>
                <w:kern w:val="0"/>
              </w:rPr>
            </w:pPr>
            <w:r>
              <w:rPr>
                <w:rFonts w:ascii="宋体" w:hAnsi="宋体"/>
                <w:kern w:val="0"/>
              </w:rPr>
              <w:t>自助终端</w:t>
            </w: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新增功能</w:t>
            </w:r>
          </w:p>
        </w:tc>
        <w:tc>
          <w:tcPr>
            <w:tcW w:w="5638" w:type="dxa"/>
            <w:shd w:val="clear" w:color="auto" w:fill="auto"/>
            <w:vAlign w:val="center"/>
          </w:tcPr>
          <w:p>
            <w:pPr>
              <w:widowControl/>
              <w:spacing w:line="300" w:lineRule="exact"/>
              <w:rPr>
                <w:rFonts w:ascii="宋体" w:hAnsi="宋体"/>
                <w:kern w:val="0"/>
              </w:rPr>
            </w:pPr>
            <w:r>
              <w:rPr>
                <w:rFonts w:ascii="宋体" w:hAnsi="宋体"/>
                <w:kern w:val="0"/>
              </w:rPr>
              <w:t>提供耗材管理的标准流程,便于获取耗材消耗消息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15</w:t>
            </w:r>
          </w:p>
        </w:tc>
        <w:tc>
          <w:tcPr>
            <w:tcW w:w="1107" w:type="dxa"/>
            <w:vMerge w:val="continue"/>
            <w:vAlign w:val="center"/>
          </w:tcPr>
          <w:p>
            <w:pPr>
              <w:widowControl/>
              <w:spacing w:line="300" w:lineRule="exact"/>
              <w:rPr>
                <w:rFonts w:ascii="宋体" w:hAnsi="宋体"/>
                <w:kern w:val="0"/>
              </w:rPr>
            </w:pP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功能优化</w:t>
            </w:r>
          </w:p>
        </w:tc>
        <w:tc>
          <w:tcPr>
            <w:tcW w:w="5638" w:type="dxa"/>
            <w:shd w:val="clear" w:color="auto" w:fill="auto"/>
            <w:vAlign w:val="center"/>
          </w:tcPr>
          <w:p>
            <w:pPr>
              <w:widowControl/>
              <w:spacing w:line="300" w:lineRule="exact"/>
              <w:rPr>
                <w:rFonts w:ascii="宋体" w:hAnsi="宋体"/>
                <w:kern w:val="0"/>
              </w:rPr>
            </w:pPr>
            <w:r>
              <w:rPr>
                <w:rFonts w:ascii="宋体" w:hAnsi="宋体"/>
                <w:kern w:val="0"/>
              </w:rPr>
              <w:t>优化【关闭/重启】【自动升级】【清除打印任务】以及【安全退出】功能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16</w:t>
            </w:r>
          </w:p>
        </w:tc>
        <w:tc>
          <w:tcPr>
            <w:tcW w:w="1107" w:type="dxa"/>
            <w:vMerge w:val="restart"/>
            <w:vAlign w:val="center"/>
          </w:tcPr>
          <w:p>
            <w:pPr>
              <w:widowControl/>
              <w:spacing w:line="300" w:lineRule="exact"/>
              <w:jc w:val="center"/>
              <w:rPr>
                <w:rFonts w:ascii="宋体" w:hAnsi="宋体"/>
                <w:kern w:val="0"/>
              </w:rPr>
            </w:pPr>
            <w:r>
              <w:rPr>
                <w:rFonts w:ascii="宋体" w:hAnsi="宋体"/>
                <w:kern w:val="0"/>
              </w:rPr>
              <w:t>资产清查盘点</w:t>
            </w: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功能优化</w:t>
            </w:r>
          </w:p>
        </w:tc>
        <w:tc>
          <w:tcPr>
            <w:tcW w:w="5638" w:type="dxa"/>
            <w:shd w:val="clear" w:color="auto" w:fill="auto"/>
            <w:vAlign w:val="center"/>
          </w:tcPr>
          <w:p>
            <w:pPr>
              <w:spacing w:line="300" w:lineRule="exact"/>
              <w:rPr>
                <w:rFonts w:ascii="宋体" w:hAnsi="宋体"/>
                <w:kern w:val="0"/>
              </w:rPr>
            </w:pPr>
            <w:r>
              <w:rPr>
                <w:rFonts w:ascii="宋体" w:hAnsi="宋体"/>
                <w:kern w:val="0"/>
              </w:rPr>
              <w:t>重构资产清查盘点产品设计和底层代码：</w:t>
            </w:r>
          </w:p>
          <w:p>
            <w:pPr>
              <w:spacing w:line="300" w:lineRule="exact"/>
              <w:rPr>
                <w:rFonts w:ascii="宋体" w:hAnsi="宋体"/>
                <w:kern w:val="0"/>
              </w:rPr>
            </w:pPr>
            <w:r>
              <w:rPr>
                <w:rFonts w:ascii="宋体" w:hAnsi="宋体"/>
                <w:kern w:val="0"/>
              </w:rPr>
              <w:t>支持多种盘点场景：集中清查盘点、抽查盘点等；支持多终端盘点：PC端、手机端、RFID手持终端；提升清查盘点产品稳定性，解决旧版盘点产品设计问题，独立模块升级，易于升级维护。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17</w:t>
            </w:r>
          </w:p>
        </w:tc>
        <w:tc>
          <w:tcPr>
            <w:tcW w:w="1107" w:type="dxa"/>
            <w:vMerge w:val="continue"/>
            <w:vAlign w:val="center"/>
          </w:tcPr>
          <w:p>
            <w:pPr>
              <w:widowControl/>
              <w:spacing w:line="300" w:lineRule="exact"/>
              <w:rPr>
                <w:rFonts w:ascii="宋体" w:hAnsi="宋体"/>
                <w:kern w:val="0"/>
              </w:rPr>
            </w:pP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功能优化</w:t>
            </w:r>
          </w:p>
        </w:tc>
        <w:tc>
          <w:tcPr>
            <w:tcW w:w="5638" w:type="dxa"/>
            <w:shd w:val="clear" w:color="auto" w:fill="auto"/>
            <w:vAlign w:val="center"/>
          </w:tcPr>
          <w:p>
            <w:pPr>
              <w:widowControl/>
              <w:spacing w:line="300" w:lineRule="exact"/>
              <w:rPr>
                <w:rFonts w:ascii="宋体" w:hAnsi="宋体"/>
                <w:kern w:val="0"/>
              </w:rPr>
            </w:pPr>
            <w:r>
              <w:rPr>
                <w:rFonts w:ascii="宋体" w:hAnsi="宋体"/>
                <w:kern w:val="0"/>
              </w:rPr>
              <w:t>优化PC端盘点操作体验，提升易用性：盘点结果采用图表展示，方便进行统计分析；提供各个维度进度统计，方便跟踪盘点进度；推送领用人盘点待办任务，更易接收盘点通知。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18</w:t>
            </w:r>
          </w:p>
        </w:tc>
        <w:tc>
          <w:tcPr>
            <w:tcW w:w="1107" w:type="dxa"/>
            <w:vMerge w:val="continue"/>
            <w:vAlign w:val="center"/>
          </w:tcPr>
          <w:p>
            <w:pPr>
              <w:widowControl/>
              <w:spacing w:line="300" w:lineRule="exact"/>
              <w:rPr>
                <w:rFonts w:ascii="宋体" w:hAnsi="宋体"/>
                <w:kern w:val="0"/>
              </w:rPr>
            </w:pP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功能优化</w:t>
            </w:r>
          </w:p>
        </w:tc>
        <w:tc>
          <w:tcPr>
            <w:tcW w:w="5638" w:type="dxa"/>
            <w:shd w:val="clear" w:color="auto" w:fill="auto"/>
            <w:vAlign w:val="center"/>
          </w:tcPr>
          <w:p>
            <w:pPr>
              <w:widowControl/>
              <w:spacing w:line="300" w:lineRule="exact"/>
              <w:rPr>
                <w:rFonts w:ascii="宋体" w:hAnsi="宋体"/>
                <w:kern w:val="0"/>
              </w:rPr>
            </w:pPr>
            <w:r>
              <w:rPr>
                <w:rFonts w:ascii="宋体" w:hAnsi="宋体"/>
                <w:kern w:val="0"/>
              </w:rPr>
              <w:t>优化领用人移动端盘点；优化盘点页面，操作更便捷，支持扫码盘点。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19</w:t>
            </w:r>
          </w:p>
        </w:tc>
        <w:tc>
          <w:tcPr>
            <w:tcW w:w="1107" w:type="dxa"/>
            <w:vMerge w:val="continue"/>
            <w:vAlign w:val="center"/>
          </w:tcPr>
          <w:p>
            <w:pPr>
              <w:widowControl/>
              <w:spacing w:line="300" w:lineRule="exact"/>
              <w:rPr>
                <w:rFonts w:ascii="宋体" w:hAnsi="宋体"/>
                <w:kern w:val="0"/>
              </w:rPr>
            </w:pP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功能优化</w:t>
            </w:r>
          </w:p>
        </w:tc>
        <w:tc>
          <w:tcPr>
            <w:tcW w:w="5638" w:type="dxa"/>
            <w:shd w:val="clear" w:color="auto" w:fill="auto"/>
            <w:vAlign w:val="center"/>
          </w:tcPr>
          <w:p>
            <w:pPr>
              <w:widowControl/>
              <w:spacing w:line="300" w:lineRule="exact"/>
              <w:rPr>
                <w:rFonts w:ascii="宋体" w:hAnsi="宋体"/>
                <w:kern w:val="0"/>
              </w:rPr>
            </w:pPr>
            <w:r>
              <w:rPr>
                <w:rFonts w:ascii="宋体" w:hAnsi="宋体"/>
                <w:kern w:val="0"/>
              </w:rPr>
              <w:t>完善资产业务和清查盘点衔接；领用人变更、调拨完成资产自动盘点，报废审批完整后资产无需再盘点。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09" w:type="dxa"/>
            <w:shd w:val="clear" w:color="auto" w:fill="auto"/>
            <w:noWrap/>
            <w:vAlign w:val="center"/>
          </w:tcPr>
          <w:p>
            <w:pPr>
              <w:widowControl/>
              <w:spacing w:line="300" w:lineRule="exact"/>
              <w:jc w:val="center"/>
              <w:rPr>
                <w:rFonts w:ascii="宋体" w:hAnsi="宋体"/>
                <w:kern w:val="0"/>
              </w:rPr>
            </w:pPr>
            <w:r>
              <w:rPr>
                <w:rFonts w:ascii="宋体" w:hAnsi="宋体"/>
                <w:kern w:val="0"/>
              </w:rPr>
              <w:t>20</w:t>
            </w:r>
          </w:p>
        </w:tc>
        <w:tc>
          <w:tcPr>
            <w:tcW w:w="1107" w:type="dxa"/>
            <w:vMerge w:val="continue"/>
            <w:vAlign w:val="center"/>
          </w:tcPr>
          <w:p>
            <w:pPr>
              <w:widowControl/>
              <w:spacing w:line="300" w:lineRule="exact"/>
              <w:rPr>
                <w:rFonts w:ascii="宋体" w:hAnsi="宋体"/>
                <w:kern w:val="0"/>
              </w:rPr>
            </w:pPr>
          </w:p>
        </w:tc>
        <w:tc>
          <w:tcPr>
            <w:tcW w:w="768" w:type="dxa"/>
            <w:shd w:val="clear" w:color="auto" w:fill="auto"/>
            <w:noWrap/>
            <w:vAlign w:val="center"/>
          </w:tcPr>
          <w:p>
            <w:pPr>
              <w:widowControl/>
              <w:spacing w:line="300" w:lineRule="exact"/>
              <w:rPr>
                <w:rFonts w:ascii="宋体" w:hAnsi="宋体"/>
                <w:kern w:val="0"/>
              </w:rPr>
            </w:pPr>
            <w:r>
              <w:rPr>
                <w:rFonts w:ascii="宋体" w:hAnsi="宋体"/>
                <w:kern w:val="0"/>
              </w:rPr>
              <w:t>新增功能</w:t>
            </w:r>
          </w:p>
        </w:tc>
        <w:tc>
          <w:tcPr>
            <w:tcW w:w="5638" w:type="dxa"/>
            <w:shd w:val="clear" w:color="auto" w:fill="auto"/>
            <w:vAlign w:val="center"/>
          </w:tcPr>
          <w:p>
            <w:pPr>
              <w:widowControl/>
              <w:spacing w:line="300" w:lineRule="exact"/>
              <w:rPr>
                <w:rFonts w:ascii="宋体" w:hAnsi="宋体"/>
                <w:kern w:val="0"/>
              </w:rPr>
            </w:pPr>
            <w:r>
              <w:rPr>
                <w:rFonts w:ascii="宋体" w:hAnsi="宋体"/>
                <w:kern w:val="0"/>
              </w:rPr>
              <w:t>提供单位拟盘盈资产录入功能，新增EXCEL导入盘点功能</w:t>
            </w:r>
          </w:p>
        </w:tc>
      </w:tr>
    </w:tbl>
    <w:p>
      <w:pPr>
        <w:spacing w:line="570" w:lineRule="exact"/>
        <w:ind w:firstLine="640"/>
        <w:rPr>
          <w:rFonts w:ascii="宋体" w:hAnsi="宋体"/>
          <w:kern w:val="0"/>
        </w:rPr>
      </w:pPr>
      <w:r>
        <w:rPr>
          <w:rFonts w:hint="eastAsia" w:ascii="宋体" w:hAnsi="宋体"/>
          <w:kern w:val="0"/>
        </w:rPr>
        <w:t>2</w:t>
      </w:r>
      <w:r>
        <w:rPr>
          <w:rFonts w:ascii="宋体" w:hAnsi="宋体"/>
          <w:kern w:val="0"/>
        </w:rPr>
        <w:t xml:space="preserve">. </w:t>
      </w:r>
      <w:r>
        <w:rPr>
          <w:rFonts w:hint="eastAsia" w:ascii="宋体" w:hAnsi="宋体"/>
          <w:kern w:val="0"/>
        </w:rPr>
        <w:t>修复B</w:t>
      </w:r>
      <w:r>
        <w:rPr>
          <w:rFonts w:ascii="宋体" w:hAnsi="宋体"/>
          <w:kern w:val="0"/>
        </w:rPr>
        <w:t>UG</w:t>
      </w:r>
      <w:r>
        <w:rPr>
          <w:rFonts w:hint="eastAsia" w:ascii="宋体" w:hAnsi="宋体"/>
          <w:kern w:val="0"/>
        </w:rPr>
        <w:t>清单</w:t>
      </w:r>
    </w:p>
    <w:tbl>
      <w:tblPr>
        <w:tblStyle w:val="5"/>
        <w:tblW w:w="5000" w:type="pct"/>
        <w:tblInd w:w="0" w:type="dxa"/>
        <w:tblLayout w:type="autofit"/>
        <w:tblCellMar>
          <w:top w:w="0" w:type="dxa"/>
          <w:left w:w="108" w:type="dxa"/>
          <w:bottom w:w="0" w:type="dxa"/>
          <w:right w:w="108" w:type="dxa"/>
        </w:tblCellMar>
      </w:tblPr>
      <w:tblGrid>
        <w:gridCol w:w="730"/>
        <w:gridCol w:w="1176"/>
        <w:gridCol w:w="6616"/>
      </w:tblGrid>
      <w:tr>
        <w:tblPrEx>
          <w:tblCellMar>
            <w:top w:w="0" w:type="dxa"/>
            <w:left w:w="108" w:type="dxa"/>
            <w:bottom w:w="0" w:type="dxa"/>
            <w:right w:w="108" w:type="dxa"/>
          </w:tblCellMar>
        </w:tblPrEx>
        <w:trPr>
          <w:trHeight w:val="270" w:hRule="atLeast"/>
        </w:trPr>
        <w:tc>
          <w:tcPr>
            <w:tcW w:w="704"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spacing w:line="300" w:lineRule="exact"/>
              <w:jc w:val="center"/>
              <w:rPr>
                <w:rFonts w:ascii="宋体" w:hAnsi="宋体"/>
                <w:kern w:val="0"/>
              </w:rPr>
            </w:pPr>
            <w:r>
              <w:rPr>
                <w:rFonts w:ascii="宋体" w:hAnsi="宋体"/>
                <w:kern w:val="0"/>
              </w:rPr>
              <w:t>编号</w:t>
            </w:r>
          </w:p>
        </w:tc>
        <w:tc>
          <w:tcPr>
            <w:tcW w:w="1134" w:type="dxa"/>
            <w:tcBorders>
              <w:top w:val="single" w:color="auto" w:sz="4" w:space="0"/>
              <w:left w:val="single" w:color="auto" w:sz="4" w:space="0"/>
              <w:bottom w:val="single" w:color="auto" w:sz="4" w:space="0"/>
              <w:right w:val="single" w:color="000000" w:sz="4" w:space="0"/>
            </w:tcBorders>
            <w:shd w:val="clear" w:color="000000" w:fill="D9D9D9"/>
            <w:noWrap/>
            <w:vAlign w:val="center"/>
          </w:tcPr>
          <w:p>
            <w:pPr>
              <w:widowControl/>
              <w:spacing w:line="300" w:lineRule="exact"/>
              <w:jc w:val="center"/>
              <w:rPr>
                <w:rFonts w:ascii="宋体" w:hAnsi="宋体"/>
                <w:kern w:val="0"/>
              </w:rPr>
            </w:pPr>
            <w:r>
              <w:rPr>
                <w:rFonts w:ascii="宋体" w:hAnsi="宋体"/>
                <w:kern w:val="0"/>
              </w:rPr>
              <w:t>功能模块</w:t>
            </w:r>
          </w:p>
        </w:tc>
        <w:tc>
          <w:tcPr>
            <w:tcW w:w="6379" w:type="dxa"/>
            <w:tcBorders>
              <w:top w:val="single" w:color="auto" w:sz="4" w:space="0"/>
              <w:left w:val="single" w:color="auto" w:sz="4" w:space="0"/>
              <w:bottom w:val="single" w:color="auto" w:sz="4" w:space="0"/>
              <w:right w:val="single" w:color="000000" w:sz="4" w:space="0"/>
            </w:tcBorders>
            <w:shd w:val="clear" w:color="000000" w:fill="D9D9D9"/>
            <w:noWrap/>
            <w:vAlign w:val="center"/>
          </w:tcPr>
          <w:p>
            <w:pPr>
              <w:widowControl/>
              <w:spacing w:line="300" w:lineRule="exact"/>
              <w:jc w:val="center"/>
              <w:rPr>
                <w:rFonts w:ascii="宋体" w:hAnsi="宋体"/>
                <w:kern w:val="0"/>
              </w:rPr>
            </w:pPr>
            <w:r>
              <w:rPr>
                <w:rFonts w:ascii="宋体" w:hAnsi="宋体"/>
                <w:kern w:val="0"/>
              </w:rPr>
              <w:t>修复内容</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w:t>
            </w:r>
          </w:p>
        </w:tc>
        <w:tc>
          <w:tcPr>
            <w:tcW w:w="1134" w:type="dxa"/>
            <w:vMerge w:val="restart"/>
            <w:tcBorders>
              <w:top w:val="single" w:color="auto" w:sz="4" w:space="0"/>
              <w:left w:val="single" w:color="auto" w:sz="4" w:space="0"/>
              <w:bottom w:val="nil"/>
              <w:right w:val="single" w:color="000000"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建账</w:t>
            </w: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修复税额为小数时，显示错误问题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修复建账分类对应国标分类号显示问题（是那一类就只显示那一类国标号）</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修复分类号和国标分类号对应不一致问题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4</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修复应该是必填项没有标示问题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5</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修复无法通过编号查询分类号</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6</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修复无页面定位必填提示</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7</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修复资产清单台件错误</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8</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修复查询无资产类别选择</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9</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修复批量打印对账单标题不完整问题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修复价值能输入负数的问题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11</w:t>
            </w:r>
          </w:p>
        </w:tc>
        <w:tc>
          <w:tcPr>
            <w:tcW w:w="1134"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变动/维修</w:t>
            </w: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优化批量图书变动数据查询慢问题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12</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修复数据显示待自查，但是在自查盘点无法找到对应的数据</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13</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修复财政六大分类，加载失败的问题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14</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修复通过分类号查询报错的问题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15</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修复实名制领用人展示不完整问题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16</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修复管理单位匹配错误问题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17</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修复资产列表无法排序问题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18</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修复棵数可以输入小数的问题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19</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修复链接无法点击问题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修复统付金额能和预估维修问题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21</w:t>
            </w:r>
          </w:p>
        </w:tc>
        <w:tc>
          <w:tcPr>
            <w:tcW w:w="1134"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处置/盘点</w:t>
            </w: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修复搜索中业务类别问题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22</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修复联系方式输入过长问题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23</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修复待转出业务状态未改变问题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24</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修复导出文件现状显示为数字问题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25</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修复审核意见不填写也能提交的问题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26</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修复查询字段显示不全问题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27</w:t>
            </w:r>
          </w:p>
        </w:tc>
        <w:tc>
          <w:tcPr>
            <w:tcW w:w="1134"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折旧摊销</w:t>
            </w: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修复年末资产数据不正确问题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28</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修复房屋类别费用确认，总价值显示错误问题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29</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修复折旧数量与要素设置内折旧数量不一致问题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修复财务部门无折旧数据，查看折旧分类统计仍显示了数据</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修复教育费用折旧额数据显示错误</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32</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修复常用报表查询报错问题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33</w:t>
            </w:r>
          </w:p>
        </w:tc>
        <w:tc>
          <w:tcPr>
            <w:tcW w:w="1134"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在建工程</w:t>
            </w: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修复付款比例显示不正确</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34</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修复不能撤回提交</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35</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修复分页查询错误</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36</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修复申请转仪器设备错误</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37</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修复已办结-出厂号个数与数量不匹配不能转固问题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38</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修复台件显示不一致问题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39</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修复转固状态显示小数问题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40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修复上传图片无法保存的问题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41</w:t>
            </w:r>
          </w:p>
        </w:tc>
        <w:tc>
          <w:tcPr>
            <w:tcW w:w="1134"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我领用的资产</w:t>
            </w: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修复已处置资产查询报空问题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42</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修复选择“双肩挑”查询报错问题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43</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修复图书明细查询：数据检索失败问题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44</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优化资产查询效率太低的问题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45</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修复动植物列表升降序错误</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46</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修复下次检测时间能比检测时间早能提交问题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47</w:t>
            </w:r>
          </w:p>
        </w:tc>
        <w:tc>
          <w:tcPr>
            <w:tcW w:w="1134"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资产报表</w:t>
            </w: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修复C007减值资产业务明细：领用人没有显示</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48</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修复现状显示数字问题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49</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修复B012资产分类退库减少情况表导出title为null的问题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50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修复C007打开页面的标题与功能不一致</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51</w:t>
            </w:r>
          </w:p>
        </w:tc>
        <w:tc>
          <w:tcPr>
            <w:tcW w:w="1134"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财务接口</w:t>
            </w: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修复未对账数据无法打开问题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52</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修复执行对账提示错误问题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53</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修复无法修改入库日期问题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54</w:t>
            </w:r>
          </w:p>
        </w:tc>
        <w:tc>
          <w:tcPr>
            <w:tcW w:w="1134"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特殊设备</w:t>
            </w: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修复页面提示null问题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55</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修复关键字搜索不了问题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56</w:t>
            </w:r>
          </w:p>
        </w:tc>
        <w:tc>
          <w:tcPr>
            <w:tcW w:w="1134"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公共服务</w:t>
            </w: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修复已申请加入调剂平台的资产，点击修改报错问题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57</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修复已申请加入调剂平台的资产，点击删除报错问题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58</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修复已申请加入调剂平台的资产，点击撤出调剂平台的资产报错问题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59</w:t>
            </w:r>
          </w:p>
        </w:tc>
        <w:tc>
          <w:tcPr>
            <w:tcW w:w="1134"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移动端</w:t>
            </w: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修复无法扫描二维码问题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60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修复审核通过异常问题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61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修复维修下一步报错问题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62</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修复模块点击报错问题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63</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修复单据补打404错误问题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64</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修复待自查数量不一致问题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65</w:t>
            </w:r>
          </w:p>
        </w:tc>
        <w:tc>
          <w:tcPr>
            <w:tcW w:w="1134"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试剂耗材</w:t>
            </w: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修复试剂耗材转移报空问题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66</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修复必填项没提示，保存失败</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67</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修复填写转移数量，但无编辑框问题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68</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修复添加废物液回收信息保存报错问题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69</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修复保存发票图片报错问题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70</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修复废物液回收报错问题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71</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修复单价还能填负数问题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72</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修复无法填写发票号、发票日期和发票照片问题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73</w:t>
            </w:r>
          </w:p>
        </w:tc>
        <w:tc>
          <w:tcPr>
            <w:tcW w:w="1134"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资产数据管理</w:t>
            </w: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修复陈列品无明细查询功能，请新增问题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74</w:t>
            </w: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修复文物，成列品，植物的资产明细页面，类别均显示代码问题</w:t>
            </w:r>
          </w:p>
        </w:tc>
      </w:tr>
      <w:tr>
        <w:tblPrEx>
          <w:tblCellMar>
            <w:top w:w="0" w:type="dxa"/>
            <w:left w:w="108" w:type="dxa"/>
            <w:bottom w:w="0" w:type="dxa"/>
            <w:right w:w="108" w:type="dxa"/>
          </w:tblCellMar>
        </w:tblPrEx>
        <w:trPr>
          <w:trHeight w:val="270" w:hRule="atLeast"/>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75</w:t>
            </w:r>
          </w:p>
        </w:tc>
        <w:tc>
          <w:tcPr>
            <w:tcW w:w="1134"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汇总统计报</w:t>
            </w:r>
          </w:p>
        </w:tc>
        <w:tc>
          <w:tcPr>
            <w:tcW w:w="637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进页面直接点击“刷新”报null问题</w:t>
            </w:r>
          </w:p>
        </w:tc>
      </w:tr>
    </w:tbl>
    <w:p>
      <w:pPr>
        <w:spacing w:line="570" w:lineRule="exact"/>
        <w:ind w:firstLine="640"/>
        <w:rPr>
          <w:rFonts w:ascii="宋体" w:hAnsi="宋体"/>
          <w:kern w:val="0"/>
        </w:rPr>
      </w:pPr>
      <w:r>
        <w:rPr>
          <w:rFonts w:hint="eastAsia" w:ascii="宋体" w:hAnsi="宋体"/>
          <w:kern w:val="0"/>
        </w:rPr>
        <w:t>3</w:t>
      </w:r>
      <w:r>
        <w:rPr>
          <w:rFonts w:ascii="宋体" w:hAnsi="宋体"/>
          <w:kern w:val="0"/>
        </w:rPr>
        <w:t xml:space="preserve">. </w:t>
      </w:r>
      <w:r>
        <w:rPr>
          <w:rFonts w:hint="eastAsia" w:ascii="宋体" w:hAnsi="宋体"/>
          <w:kern w:val="0"/>
        </w:rPr>
        <w:t>数据库调整</w:t>
      </w:r>
    </w:p>
    <w:tbl>
      <w:tblPr>
        <w:tblStyle w:val="5"/>
        <w:tblW w:w="5000" w:type="pct"/>
        <w:jc w:val="center"/>
        <w:tblLayout w:type="fixed"/>
        <w:tblCellMar>
          <w:top w:w="0" w:type="dxa"/>
          <w:left w:w="108" w:type="dxa"/>
          <w:bottom w:w="0" w:type="dxa"/>
          <w:right w:w="108" w:type="dxa"/>
        </w:tblCellMar>
      </w:tblPr>
      <w:tblGrid>
        <w:gridCol w:w="716"/>
        <w:gridCol w:w="1128"/>
        <w:gridCol w:w="3098"/>
        <w:gridCol w:w="3893"/>
      </w:tblGrid>
      <w:tr>
        <w:tblPrEx>
          <w:tblCellMar>
            <w:top w:w="0" w:type="dxa"/>
            <w:left w:w="108" w:type="dxa"/>
            <w:bottom w:w="0" w:type="dxa"/>
            <w:right w:w="108" w:type="dxa"/>
          </w:tblCellMar>
        </w:tblPrEx>
        <w:trPr>
          <w:trHeight w:val="270" w:hRule="atLeast"/>
          <w:jc w:val="center"/>
        </w:trPr>
        <w:tc>
          <w:tcPr>
            <w:tcW w:w="704"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spacing w:line="300" w:lineRule="exact"/>
              <w:jc w:val="center"/>
              <w:rPr>
                <w:rFonts w:ascii="宋体" w:hAnsi="宋体"/>
                <w:kern w:val="0"/>
              </w:rPr>
            </w:pPr>
            <w:r>
              <w:rPr>
                <w:rFonts w:ascii="宋体" w:hAnsi="宋体"/>
                <w:kern w:val="0"/>
              </w:rPr>
              <w:t>编号</w:t>
            </w:r>
          </w:p>
        </w:tc>
        <w:tc>
          <w:tcPr>
            <w:tcW w:w="1119" w:type="dxa"/>
            <w:tcBorders>
              <w:top w:val="single" w:color="auto" w:sz="4" w:space="0"/>
              <w:left w:val="single" w:color="auto" w:sz="4" w:space="0"/>
              <w:bottom w:val="single" w:color="auto" w:sz="4" w:space="0"/>
              <w:right w:val="single" w:color="000000" w:sz="4" w:space="0"/>
            </w:tcBorders>
            <w:shd w:val="clear" w:color="000000" w:fill="D9D9D9"/>
            <w:noWrap/>
            <w:vAlign w:val="center"/>
          </w:tcPr>
          <w:p>
            <w:pPr>
              <w:widowControl/>
              <w:spacing w:line="300" w:lineRule="exact"/>
              <w:jc w:val="center"/>
              <w:rPr>
                <w:rFonts w:ascii="宋体" w:hAnsi="宋体"/>
                <w:kern w:val="0"/>
              </w:rPr>
            </w:pPr>
            <w:r>
              <w:rPr>
                <w:rFonts w:ascii="宋体" w:hAnsi="宋体"/>
                <w:kern w:val="0"/>
              </w:rPr>
              <w:t>脚本文件</w:t>
            </w:r>
          </w:p>
        </w:tc>
        <w:tc>
          <w:tcPr>
            <w:tcW w:w="3105" w:type="dxa"/>
            <w:tcBorders>
              <w:top w:val="single" w:color="auto" w:sz="4" w:space="0"/>
              <w:left w:val="single" w:color="auto" w:sz="4" w:space="0"/>
              <w:bottom w:val="single" w:color="auto" w:sz="4" w:space="0"/>
              <w:right w:val="single" w:color="000000" w:sz="4" w:space="0"/>
            </w:tcBorders>
            <w:shd w:val="clear" w:color="000000" w:fill="D9D9D9"/>
            <w:noWrap/>
            <w:vAlign w:val="center"/>
          </w:tcPr>
          <w:p>
            <w:pPr>
              <w:widowControl/>
              <w:spacing w:line="300" w:lineRule="exact"/>
              <w:jc w:val="center"/>
              <w:rPr>
                <w:rFonts w:ascii="宋体" w:hAnsi="宋体"/>
                <w:kern w:val="0"/>
              </w:rPr>
            </w:pPr>
            <w:r>
              <w:rPr>
                <w:rFonts w:ascii="宋体" w:hAnsi="宋体"/>
                <w:kern w:val="0"/>
              </w:rPr>
              <w:t>关联表</w:t>
            </w:r>
          </w:p>
        </w:tc>
        <w:tc>
          <w:tcPr>
            <w:tcW w:w="3906" w:type="dxa"/>
            <w:tcBorders>
              <w:top w:val="single" w:color="auto" w:sz="4" w:space="0"/>
              <w:left w:val="single" w:color="auto" w:sz="4" w:space="0"/>
              <w:bottom w:val="single" w:color="auto" w:sz="4" w:space="0"/>
              <w:right w:val="single" w:color="000000" w:sz="4" w:space="0"/>
            </w:tcBorders>
            <w:shd w:val="clear" w:color="000000" w:fill="D9D9D9"/>
            <w:noWrap/>
            <w:vAlign w:val="center"/>
          </w:tcPr>
          <w:p>
            <w:pPr>
              <w:widowControl/>
              <w:spacing w:line="300" w:lineRule="exact"/>
              <w:jc w:val="center"/>
              <w:rPr>
                <w:rFonts w:ascii="宋体" w:hAnsi="宋体"/>
                <w:kern w:val="0"/>
              </w:rPr>
            </w:pPr>
            <w:r>
              <w:rPr>
                <w:rFonts w:ascii="宋体" w:hAnsi="宋体"/>
                <w:kern w:val="0"/>
              </w:rPr>
              <w:t>处理说明</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w:t>
            </w:r>
          </w:p>
        </w:tc>
        <w:tc>
          <w:tcPr>
            <w:tcW w:w="1119" w:type="dxa"/>
            <w:vMerge w:val="restart"/>
            <w:tcBorders>
              <w:top w:val="single" w:color="auto" w:sz="4" w:space="0"/>
              <w:left w:val="single" w:color="auto" w:sz="4" w:space="0"/>
              <w:bottom w:val="nil"/>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sec_assets_ddl.sql</w:t>
            </w:r>
          </w:p>
        </w:tc>
        <w:tc>
          <w:tcPr>
            <w:tcW w:w="3105"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【资产-变动记录表】sec_assets.assets_work</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新增字段【现场验收日期】</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新增字段【验收报告照片】</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restart"/>
            <w:tcBorders>
              <w:top w:val="single" w:color="auto" w:sz="4" w:space="0"/>
              <w:left w:val="single" w:color="auto" w:sz="4" w:space="0"/>
              <w:bottom w:val="nil"/>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【变卖汇总表】sec_assets.assets_drop_collection_sale</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新增字段【相关附件】</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4</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新增字段【处置方式】</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5</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新增字段【本次处置总原值】</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6</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新增字段【剩余残值】</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7</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新增字段【劳务费用(支出)】</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8</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新增字段【批次号(对应主表批次号)】</w:t>
            </w:r>
          </w:p>
        </w:tc>
      </w:tr>
      <w:tr>
        <w:tblPrEx>
          <w:tblCellMar>
            <w:top w:w="0" w:type="dxa"/>
            <w:left w:w="108" w:type="dxa"/>
            <w:bottom w:w="0" w:type="dxa"/>
            <w:right w:w="108" w:type="dxa"/>
          </w:tblCellMar>
        </w:tblPrEx>
        <w:trPr>
          <w:trHeight w:val="732"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9</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 xml:space="preserve">【资产变动业务资产列表】sec_assets.assets_change_list </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修正字段【assets_code】为可变字符64位</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10</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【设备数据上报转存表】sec_assets.jybjk_dzf_equipment</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新增字段【折旧金额】</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11</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新增字段【本次折旧月数】</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12</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新增字段【补提金额】</w:t>
            </w:r>
          </w:p>
        </w:tc>
      </w:tr>
      <w:tr>
        <w:tblPrEx>
          <w:tblCellMar>
            <w:top w:w="0" w:type="dxa"/>
            <w:left w:w="108" w:type="dxa"/>
            <w:bottom w:w="0" w:type="dxa"/>
            <w:right w:w="108" w:type="dxa"/>
          </w:tblCellMar>
        </w:tblPrEx>
        <w:trPr>
          <w:trHeight w:val="649"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13</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【教育部数据上传任务表】sec_assets.jybjk_task</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新增字段【上报国标类别】</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14</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【资产变动业务表】sec_assets.assets_change</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修正字段【repair_descreption】为可变字符1024位</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15</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修正字段【fault】为可变字符1024位</w:t>
            </w:r>
          </w:p>
        </w:tc>
      </w:tr>
      <w:tr>
        <w:tblPrEx>
          <w:tblCellMar>
            <w:top w:w="0" w:type="dxa"/>
            <w:left w:w="108" w:type="dxa"/>
            <w:bottom w:w="0" w:type="dxa"/>
            <w:right w:w="108" w:type="dxa"/>
          </w:tblCellMar>
        </w:tblPrEx>
        <w:trPr>
          <w:trHeight w:val="66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16</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【废物液回收业务表】sec_assets.material_recycle</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新增字段【废物液回收业务状态】</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17</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【废物液回收数据表】sec_assets.material_recycle_list</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新增字段【实际重量】</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18</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新增字段【预估重量】</w:t>
            </w:r>
          </w:p>
        </w:tc>
      </w:tr>
      <w:tr>
        <w:tblPrEx>
          <w:tblCellMar>
            <w:top w:w="0" w:type="dxa"/>
            <w:left w:w="108" w:type="dxa"/>
            <w:bottom w:w="0" w:type="dxa"/>
            <w:right w:w="108" w:type="dxa"/>
          </w:tblCellMar>
        </w:tblPrEx>
        <w:trPr>
          <w:trHeight w:val="672"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19</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【单位财务费用分摊比例配置表】sec_assets.assets_dep_finance_expense</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新增表【单位财务费用分摊比例配置】</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20</w:t>
            </w:r>
          </w:p>
        </w:tc>
        <w:tc>
          <w:tcPr>
            <w:tcW w:w="1119" w:type="dxa"/>
            <w:vMerge w:val="restart"/>
            <w:tcBorders>
              <w:top w:val="single" w:color="auto" w:sz="4" w:space="0"/>
              <w:left w:val="single" w:color="auto" w:sz="4" w:space="0"/>
              <w:bottom w:val="nil"/>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sec_bl_assets_ddl.sql</w:t>
            </w:r>
          </w:p>
        </w:tc>
        <w:tc>
          <w:tcPr>
            <w:tcW w:w="310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【资产表】sec_bl_assets.assets</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新增字段【现场验收日期】</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21</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新增字段【验收报告照片】</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22</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【财务对账结果表】sec_bl_assets.assets_finance_check_result</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新增字段【科目比对结果】</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23</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新增字段【财务财务科目】</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24</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新增字段【资产财务科目】</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25</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修正字段【finance_bill】为可变字符1024位</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26</w:t>
            </w:r>
          </w:p>
        </w:tc>
        <w:tc>
          <w:tcPr>
            <w:tcW w:w="1119"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sec_base_dml.sql</w:t>
            </w:r>
          </w:p>
        </w:tc>
        <w:tc>
          <w:tcPr>
            <w:tcW w:w="310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【系统-功能权限表】sec_base.system_popedom</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将原有处置变卖记录修改为大仪处置变卖</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27</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新增单独处置变卖列表</w:t>
            </w:r>
          </w:p>
        </w:tc>
      </w:tr>
      <w:tr>
        <w:tblPrEx>
          <w:tblCellMar>
            <w:top w:w="0" w:type="dxa"/>
            <w:left w:w="108" w:type="dxa"/>
            <w:bottom w:w="0" w:type="dxa"/>
            <w:right w:w="108" w:type="dxa"/>
          </w:tblCellMar>
        </w:tblPrEx>
        <w:trPr>
          <w:trHeight w:val="62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28</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【单据业务表】sec_base.business_bill</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插入相关升级数据</w:t>
            </w:r>
          </w:p>
        </w:tc>
      </w:tr>
      <w:tr>
        <w:tblPrEx>
          <w:tblCellMar>
            <w:top w:w="0" w:type="dxa"/>
            <w:left w:w="108" w:type="dxa"/>
            <w:bottom w:w="0" w:type="dxa"/>
            <w:right w:w="108" w:type="dxa"/>
          </w:tblCellMar>
        </w:tblPrEx>
        <w:trPr>
          <w:trHeight w:val="612"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29</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【单据业务配置表】sec_base.business_bill_config</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插入相关升级数据</w:t>
            </w:r>
          </w:p>
        </w:tc>
      </w:tr>
      <w:tr>
        <w:tblPrEx>
          <w:tblCellMar>
            <w:top w:w="0" w:type="dxa"/>
            <w:left w:w="108" w:type="dxa"/>
            <w:bottom w:w="0" w:type="dxa"/>
            <w:right w:w="108" w:type="dxa"/>
          </w:tblCellMar>
        </w:tblPrEx>
        <w:trPr>
          <w:trHeight w:val="625"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30</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【单据业务打印模版 】sec_base.business_bill_template</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插入/更新相关升级数据</w:t>
            </w:r>
          </w:p>
        </w:tc>
      </w:tr>
      <w:tr>
        <w:tblPrEx>
          <w:tblCellMar>
            <w:top w:w="0" w:type="dxa"/>
            <w:left w:w="108" w:type="dxa"/>
            <w:bottom w:w="0" w:type="dxa"/>
            <w:right w:w="108" w:type="dxa"/>
          </w:tblCellMar>
        </w:tblPrEx>
        <w:trPr>
          <w:trHeight w:val="636"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31</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【资产分类号表】sec_bl_assets.assets_sort</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更新相关升级数据</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32</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【系统-配置表】sec_base.system_config</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新添加了系统参数(耗材是否发财务)</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33</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新添加了系统参数(耗材推送财务科目值)</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34</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新添加了系统参数(低值推送财务科目值)</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35</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新添加了系统参数(大仪数据上报单位类型归属)</w:t>
            </w:r>
          </w:p>
        </w:tc>
      </w:tr>
      <w:tr>
        <w:tblPrEx>
          <w:tblCellMar>
            <w:top w:w="0" w:type="dxa"/>
            <w:left w:w="108" w:type="dxa"/>
            <w:bottom w:w="0" w:type="dxa"/>
            <w:right w:w="108" w:type="dxa"/>
          </w:tblCellMar>
        </w:tblPrEx>
        <w:trPr>
          <w:trHeight w:val="612"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36</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【系统-字段表】sec_base.system_field</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插入相关升级数据</w:t>
            </w:r>
          </w:p>
        </w:tc>
      </w:tr>
      <w:tr>
        <w:tblPrEx>
          <w:tblCellMar>
            <w:top w:w="0" w:type="dxa"/>
            <w:left w:w="108" w:type="dxa"/>
            <w:bottom w:w="0" w:type="dxa"/>
            <w:right w:w="108" w:type="dxa"/>
          </w:tblCellMar>
        </w:tblPrEx>
        <w:trPr>
          <w:trHeight w:val="696"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37</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【系统-公共代码表】sec_base.system_option</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插入相关升级数据</w:t>
            </w:r>
          </w:p>
        </w:tc>
      </w:tr>
      <w:tr>
        <w:tblPrEx>
          <w:tblCellMar>
            <w:top w:w="0" w:type="dxa"/>
            <w:left w:w="108" w:type="dxa"/>
            <w:bottom w:w="0" w:type="dxa"/>
            <w:right w:w="108" w:type="dxa"/>
          </w:tblCellMar>
        </w:tblPrEx>
        <w:trPr>
          <w:trHeight w:val="27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38</w:t>
            </w:r>
          </w:p>
        </w:tc>
        <w:tc>
          <w:tcPr>
            <w:tcW w:w="111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sec_bl_assets_dml.sql</w:t>
            </w:r>
          </w:p>
        </w:tc>
        <w:tc>
          <w:tcPr>
            <w:tcW w:w="3105"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sec_bl_assets.assets_sort</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修复资产分类号表错误的国标分类名称</w:t>
            </w:r>
          </w:p>
        </w:tc>
      </w:tr>
      <w:tr>
        <w:tblPrEx>
          <w:tblCellMar>
            <w:top w:w="0" w:type="dxa"/>
            <w:left w:w="108" w:type="dxa"/>
            <w:bottom w:w="0" w:type="dxa"/>
            <w:right w:w="108" w:type="dxa"/>
          </w:tblCellMar>
        </w:tblPrEx>
        <w:trPr>
          <w:trHeight w:val="66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39</w:t>
            </w:r>
          </w:p>
        </w:tc>
        <w:tc>
          <w:tcPr>
            <w:tcW w:w="1119" w:type="dxa"/>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折旧升级sec_base.sql</w:t>
            </w:r>
          </w:p>
        </w:tc>
        <w:tc>
          <w:tcPr>
            <w:tcW w:w="310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【系统-功能权限表】sec_base.system_popedom</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更新折旧摊销模块菜单</w:t>
            </w:r>
          </w:p>
        </w:tc>
      </w:tr>
      <w:tr>
        <w:tblPrEx>
          <w:tblCellMar>
            <w:top w:w="0" w:type="dxa"/>
            <w:left w:w="108" w:type="dxa"/>
            <w:bottom w:w="0" w:type="dxa"/>
            <w:right w:w="108" w:type="dxa"/>
          </w:tblCellMar>
        </w:tblPrEx>
        <w:trPr>
          <w:trHeight w:val="552"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40</w:t>
            </w:r>
          </w:p>
        </w:tc>
        <w:tc>
          <w:tcPr>
            <w:tcW w:w="1119" w:type="dxa"/>
            <w:vMerge w:val="continue"/>
            <w:tcBorders>
              <w:top w:val="nil"/>
              <w:left w:val="single" w:color="auto" w:sz="4" w:space="0"/>
              <w:bottom w:val="single" w:color="auto" w:sz="4" w:space="0"/>
              <w:right w:val="single" w:color="auto" w:sz="4" w:space="0"/>
            </w:tcBorders>
            <w:vAlign w:val="center"/>
          </w:tcPr>
          <w:p>
            <w:pPr>
              <w:widowControl/>
              <w:spacing w:line="300" w:lineRule="exact"/>
              <w:rPr>
                <w:rFonts w:ascii="宋体" w:hAnsi="宋体"/>
                <w:kern w:val="0"/>
              </w:rPr>
            </w:pPr>
          </w:p>
        </w:tc>
        <w:tc>
          <w:tcPr>
            <w:tcW w:w="310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【系统-公共代码表】sec_base.system_option</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插入数据字典缺失信息</w:t>
            </w:r>
          </w:p>
        </w:tc>
      </w:tr>
      <w:tr>
        <w:tblPrEx>
          <w:tblCellMar>
            <w:top w:w="0" w:type="dxa"/>
            <w:left w:w="108" w:type="dxa"/>
            <w:bottom w:w="0" w:type="dxa"/>
            <w:right w:w="108" w:type="dxa"/>
          </w:tblCellMar>
        </w:tblPrEx>
        <w:trPr>
          <w:trHeight w:val="600" w:hRule="atLeast"/>
          <w:jc w:val="center"/>
        </w:trPr>
        <w:tc>
          <w:tcPr>
            <w:tcW w:w="704"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宋体" w:hAnsi="宋体"/>
                <w:kern w:val="0"/>
              </w:rPr>
            </w:pPr>
            <w:r>
              <w:rPr>
                <w:rFonts w:ascii="宋体" w:hAnsi="宋体"/>
                <w:kern w:val="0"/>
              </w:rPr>
              <w:t>41</w:t>
            </w:r>
          </w:p>
        </w:tc>
        <w:tc>
          <w:tcPr>
            <w:tcW w:w="1119"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分模块功能权限定义.sql</w:t>
            </w:r>
          </w:p>
        </w:tc>
        <w:tc>
          <w:tcPr>
            <w:tcW w:w="310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00" w:lineRule="exact"/>
              <w:rPr>
                <w:rFonts w:ascii="宋体" w:hAnsi="宋体"/>
                <w:kern w:val="0"/>
              </w:rPr>
            </w:pPr>
            <w:r>
              <w:rPr>
                <w:rFonts w:ascii="宋体" w:hAnsi="宋体"/>
                <w:kern w:val="0"/>
              </w:rPr>
              <w:t>【系统-功能权限表】sec_base.system_popedom</w:t>
            </w:r>
          </w:p>
        </w:tc>
        <w:tc>
          <w:tcPr>
            <w:tcW w:w="390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00" w:lineRule="exact"/>
              <w:rPr>
                <w:rFonts w:ascii="宋体" w:hAnsi="宋体"/>
                <w:kern w:val="0"/>
              </w:rPr>
            </w:pPr>
            <w:r>
              <w:rPr>
                <w:rFonts w:ascii="宋体" w:hAnsi="宋体"/>
                <w:kern w:val="0"/>
              </w:rPr>
              <w:t>插入分模块的功能权限定义数据</w:t>
            </w:r>
          </w:p>
        </w:tc>
      </w:tr>
    </w:tbl>
    <w:p>
      <w:pPr>
        <w:spacing w:line="570" w:lineRule="exact"/>
        <w:ind w:left="640"/>
        <w:rPr>
          <w:rFonts w:ascii="宋体" w:hAnsi="宋体"/>
          <w:kern w:val="0"/>
        </w:rPr>
      </w:pPr>
      <w:bookmarkStart w:id="0" w:name="_Hlk102979612"/>
    </w:p>
    <w:p>
      <w:pPr>
        <w:spacing w:line="570" w:lineRule="exact"/>
        <w:ind w:left="640"/>
        <w:rPr>
          <w:rFonts w:ascii="宋体" w:hAnsi="宋体"/>
          <w:kern w:val="0"/>
        </w:rPr>
      </w:pPr>
      <w:r>
        <w:rPr>
          <w:rFonts w:hint="eastAsia" w:ascii="宋体" w:hAnsi="宋体"/>
          <w:kern w:val="0"/>
        </w:rPr>
        <w:t>（二）与财务系统对接</w:t>
      </w:r>
      <w:bookmarkEnd w:id="0"/>
    </w:p>
    <w:p>
      <w:pPr>
        <w:spacing w:line="570" w:lineRule="exact"/>
        <w:ind w:firstLine="640"/>
        <w:rPr>
          <w:rFonts w:ascii="宋体" w:hAnsi="宋体"/>
          <w:kern w:val="0"/>
        </w:rPr>
      </w:pPr>
      <w:r>
        <w:rPr>
          <w:rFonts w:hint="eastAsia" w:ascii="宋体" w:hAnsi="宋体"/>
          <w:kern w:val="0"/>
        </w:rPr>
        <w:t>1</w:t>
      </w:r>
      <w:r>
        <w:rPr>
          <w:rFonts w:ascii="宋体" w:hAnsi="宋体"/>
          <w:kern w:val="0"/>
        </w:rPr>
        <w:t xml:space="preserve">. </w:t>
      </w:r>
      <w:r>
        <w:rPr>
          <w:rFonts w:hint="eastAsia" w:ascii="宋体" w:hAnsi="宋体"/>
          <w:kern w:val="0"/>
        </w:rPr>
        <w:t>现状问题</w:t>
      </w:r>
    </w:p>
    <w:p>
      <w:pPr>
        <w:spacing w:line="570" w:lineRule="exact"/>
        <w:ind w:firstLine="640"/>
        <w:rPr>
          <w:rFonts w:ascii="宋体" w:hAnsi="宋体"/>
          <w:kern w:val="0"/>
        </w:rPr>
      </w:pPr>
      <w:r>
        <w:rPr>
          <w:rFonts w:hint="eastAsia" w:ascii="宋体" w:hAnsi="宋体"/>
          <w:kern w:val="0"/>
        </w:rPr>
        <w:t>原来国资处与财务处的协同采用线下人工操作，常见有以下问题：</w:t>
      </w:r>
    </w:p>
    <w:p>
      <w:pPr>
        <w:spacing w:line="570" w:lineRule="exact"/>
        <w:ind w:firstLine="480"/>
        <w:rPr>
          <w:rFonts w:ascii="宋体" w:hAnsi="宋体"/>
          <w:kern w:val="0"/>
        </w:rPr>
      </w:pPr>
      <w:r>
        <w:rPr>
          <w:rFonts w:hint="eastAsia" w:ascii="宋体" w:hAnsi="宋体"/>
          <w:kern w:val="0"/>
        </w:rPr>
        <w:t>（</w:t>
      </w:r>
      <w:r>
        <w:rPr>
          <w:rFonts w:ascii="宋体" w:hAnsi="宋体"/>
          <w:kern w:val="0"/>
        </w:rPr>
        <w:t>1</w:t>
      </w:r>
      <w:r>
        <w:rPr>
          <w:rFonts w:hint="eastAsia" w:ascii="宋体" w:hAnsi="宋体"/>
          <w:kern w:val="0"/>
        </w:rPr>
        <w:t>）资产建账期间无法及时获取财务是否入账，需要线下反复确认；</w:t>
      </w:r>
    </w:p>
    <w:p>
      <w:pPr>
        <w:spacing w:line="570" w:lineRule="exact"/>
        <w:ind w:firstLine="480"/>
        <w:rPr>
          <w:rFonts w:ascii="宋体" w:hAnsi="宋体"/>
          <w:kern w:val="0"/>
        </w:rPr>
      </w:pPr>
      <w:r>
        <w:rPr>
          <w:rFonts w:hint="eastAsia" w:ascii="宋体" w:hAnsi="宋体"/>
          <w:kern w:val="0"/>
        </w:rPr>
        <w:t>（</w:t>
      </w:r>
      <w:r>
        <w:rPr>
          <w:rFonts w:ascii="宋体" w:hAnsi="宋体"/>
          <w:kern w:val="0"/>
        </w:rPr>
        <w:t>2</w:t>
      </w:r>
      <w:r>
        <w:rPr>
          <w:rFonts w:hint="eastAsia" w:ascii="宋体" w:hAnsi="宋体"/>
          <w:kern w:val="0"/>
        </w:rPr>
        <w:t>）财务入账报销期间无法及时有效确认资产是否符合报销入账条件；</w:t>
      </w:r>
    </w:p>
    <w:p>
      <w:pPr>
        <w:spacing w:line="570" w:lineRule="exact"/>
        <w:ind w:firstLine="480"/>
        <w:rPr>
          <w:rFonts w:ascii="宋体" w:hAnsi="宋体"/>
          <w:kern w:val="0"/>
        </w:rPr>
      </w:pPr>
      <w:r>
        <w:rPr>
          <w:rFonts w:hint="eastAsia" w:ascii="宋体" w:hAnsi="宋体"/>
          <w:kern w:val="0"/>
        </w:rPr>
        <w:t>（</w:t>
      </w:r>
      <w:r>
        <w:rPr>
          <w:rFonts w:ascii="宋体" w:hAnsi="宋体"/>
          <w:kern w:val="0"/>
        </w:rPr>
        <w:t>3</w:t>
      </w:r>
      <w:r>
        <w:rPr>
          <w:rFonts w:hint="eastAsia" w:ascii="宋体" w:hAnsi="宋体"/>
          <w:kern w:val="0"/>
        </w:rPr>
        <w:t>）资产已入账，财务未入账；</w:t>
      </w:r>
    </w:p>
    <w:p>
      <w:pPr>
        <w:spacing w:line="570" w:lineRule="exact"/>
        <w:ind w:firstLine="480"/>
        <w:rPr>
          <w:rFonts w:ascii="宋体" w:hAnsi="宋体"/>
          <w:kern w:val="0"/>
        </w:rPr>
      </w:pPr>
      <w:r>
        <w:rPr>
          <w:rFonts w:hint="eastAsia" w:ascii="宋体" w:hAnsi="宋体"/>
          <w:kern w:val="0"/>
        </w:rPr>
        <w:t>（</w:t>
      </w:r>
      <w:r>
        <w:rPr>
          <w:rFonts w:ascii="宋体" w:hAnsi="宋体"/>
          <w:kern w:val="0"/>
        </w:rPr>
        <w:t>4</w:t>
      </w:r>
      <w:r>
        <w:rPr>
          <w:rFonts w:hint="eastAsia" w:ascii="宋体" w:hAnsi="宋体"/>
          <w:kern w:val="0"/>
        </w:rPr>
        <w:t>）资产数据上报时，资产账与财务账不符，需要大量加班反复纠错报表数据；</w:t>
      </w:r>
    </w:p>
    <w:p>
      <w:pPr>
        <w:spacing w:line="570" w:lineRule="exact"/>
        <w:ind w:firstLine="480"/>
        <w:rPr>
          <w:rFonts w:ascii="宋体" w:hAnsi="宋体"/>
          <w:kern w:val="0"/>
        </w:rPr>
      </w:pPr>
      <w:r>
        <w:rPr>
          <w:rFonts w:hint="eastAsia" w:ascii="宋体" w:hAnsi="宋体"/>
          <w:kern w:val="0"/>
        </w:rPr>
        <w:t>（</w:t>
      </w:r>
      <w:r>
        <w:rPr>
          <w:rFonts w:ascii="宋体" w:hAnsi="宋体"/>
          <w:kern w:val="0"/>
        </w:rPr>
        <w:t>5</w:t>
      </w:r>
      <w:r>
        <w:rPr>
          <w:rFonts w:hint="eastAsia" w:ascii="宋体" w:hAnsi="宋体"/>
          <w:kern w:val="0"/>
        </w:rPr>
        <w:t>）资产变动数据不能及时同步更新到财务账目，出现账账不符。</w:t>
      </w:r>
    </w:p>
    <w:p>
      <w:pPr>
        <w:spacing w:line="570" w:lineRule="exact"/>
        <w:ind w:firstLine="640"/>
        <w:rPr>
          <w:rFonts w:ascii="宋体" w:hAnsi="宋体"/>
          <w:kern w:val="0"/>
        </w:rPr>
      </w:pPr>
      <w:r>
        <w:rPr>
          <w:rFonts w:hint="eastAsia" w:ascii="宋体" w:hAnsi="宋体"/>
          <w:kern w:val="0"/>
        </w:rPr>
        <w:t>2</w:t>
      </w:r>
      <w:r>
        <w:rPr>
          <w:rFonts w:ascii="宋体" w:hAnsi="宋体"/>
          <w:kern w:val="0"/>
        </w:rPr>
        <w:t xml:space="preserve">. </w:t>
      </w:r>
      <w:r>
        <w:rPr>
          <w:rFonts w:hint="eastAsia" w:ascii="宋体" w:hAnsi="宋体"/>
          <w:kern w:val="0"/>
        </w:rPr>
        <w:t>实现目标</w:t>
      </w:r>
    </w:p>
    <w:p>
      <w:pPr>
        <w:spacing w:line="570" w:lineRule="exact"/>
        <w:ind w:firstLine="640"/>
        <w:rPr>
          <w:rFonts w:ascii="宋体" w:hAnsi="宋体"/>
          <w:kern w:val="0"/>
        </w:rPr>
      </w:pPr>
      <w:r>
        <w:rPr>
          <w:rFonts w:hint="eastAsia" w:ascii="宋体" w:hAnsi="宋体"/>
          <w:kern w:val="0"/>
        </w:rPr>
        <w:t>本次升级完成后可实现思必得资产系统与天财财务管理系统通过接口对接，将资产管理相关业务按照业务流程要求推送到财务系统中，同时将业务的财务办理状态和处理结果实时反馈给资产系统，实现资产账和财务账的“账账相符”。</w:t>
      </w:r>
    </w:p>
    <w:p>
      <w:pPr>
        <w:spacing w:line="570" w:lineRule="exact"/>
        <w:ind w:firstLine="640"/>
        <w:rPr>
          <w:rFonts w:ascii="宋体" w:hAnsi="宋体"/>
          <w:kern w:val="0"/>
        </w:rPr>
      </w:pPr>
      <w:r>
        <w:rPr>
          <w:rFonts w:hint="eastAsia" w:ascii="宋体" w:hAnsi="宋体"/>
          <w:kern w:val="0"/>
        </w:rPr>
        <w:t>同时将已经折旧与摊销的数据通过接口直接高效传递给财务，落实新会计制度对资产管理要求的工作。</w:t>
      </w:r>
    </w:p>
    <w:p>
      <w:pPr>
        <w:spacing w:line="570" w:lineRule="exact"/>
        <w:ind w:firstLine="640"/>
        <w:rPr>
          <w:rFonts w:ascii="宋体" w:hAnsi="宋体"/>
          <w:kern w:val="0"/>
        </w:rPr>
      </w:pPr>
      <w:r>
        <w:rPr>
          <w:rFonts w:hint="eastAsia" w:ascii="宋体" w:hAnsi="宋体"/>
          <w:kern w:val="0"/>
        </w:rPr>
        <w:t>具体对接参考流程如下：</w:t>
      </w:r>
    </w:p>
    <w:p>
      <w:pPr>
        <w:spacing w:line="570" w:lineRule="exact"/>
        <w:ind w:firstLine="640"/>
        <w:rPr>
          <w:rFonts w:ascii="宋体" w:hAnsi="宋体"/>
          <w:kern w:val="0"/>
        </w:rPr>
      </w:pPr>
      <w:r>
        <w:rPr>
          <w:rFonts w:hint="eastAsia" w:ascii="宋体" w:hAnsi="宋体"/>
          <w:kern w:val="0"/>
        </w:rPr>
        <w:t>（1）思必得</w:t>
      </w:r>
      <w:r>
        <w:rPr>
          <w:rFonts w:ascii="宋体" w:hAnsi="宋体"/>
          <w:kern w:val="0"/>
        </w:rPr>
        <w:t>开发财务接口对接程序，包含资产业务接口、资产折旧摊销接口；</w:t>
      </w:r>
    </w:p>
    <w:p>
      <w:pPr>
        <w:spacing w:line="570" w:lineRule="exact"/>
        <w:ind w:firstLine="640"/>
        <w:rPr>
          <w:rFonts w:ascii="宋体" w:hAnsi="宋体"/>
          <w:kern w:val="0"/>
        </w:rPr>
      </w:pPr>
      <w:r>
        <w:rPr>
          <w:rFonts w:hint="eastAsia" w:ascii="宋体" w:hAnsi="宋体"/>
          <w:kern w:val="0"/>
        </w:rPr>
        <w:t>（2）天财</w:t>
      </w:r>
      <w:r>
        <w:rPr>
          <w:rFonts w:ascii="宋体" w:hAnsi="宋体"/>
          <w:kern w:val="0"/>
        </w:rPr>
        <w:t>财务</w:t>
      </w:r>
      <w:r>
        <w:rPr>
          <w:rFonts w:hint="eastAsia" w:ascii="宋体" w:hAnsi="宋体"/>
          <w:kern w:val="0"/>
        </w:rPr>
        <w:t>系统</w:t>
      </w:r>
      <w:r>
        <w:rPr>
          <w:rFonts w:ascii="宋体" w:hAnsi="宋体"/>
          <w:kern w:val="0"/>
        </w:rPr>
        <w:t>升级最新的财务接口程序；</w:t>
      </w:r>
    </w:p>
    <w:p>
      <w:pPr>
        <w:spacing w:line="570" w:lineRule="exact"/>
        <w:ind w:firstLine="640"/>
        <w:rPr>
          <w:rFonts w:ascii="宋体" w:hAnsi="宋体"/>
          <w:kern w:val="0"/>
        </w:rPr>
      </w:pPr>
      <w:r>
        <w:rPr>
          <w:rFonts w:hint="eastAsia" w:ascii="宋体" w:hAnsi="宋体"/>
          <w:kern w:val="0"/>
        </w:rPr>
        <w:t>（3）思必得</w:t>
      </w:r>
      <w:r>
        <w:rPr>
          <w:rFonts w:ascii="宋体" w:hAnsi="宋体"/>
          <w:kern w:val="0"/>
        </w:rPr>
        <w:t>资产管理系统升级最新的接口程序；</w:t>
      </w:r>
    </w:p>
    <w:p>
      <w:pPr>
        <w:spacing w:line="570" w:lineRule="exact"/>
        <w:ind w:firstLine="640"/>
        <w:rPr>
          <w:rFonts w:ascii="宋体" w:hAnsi="宋体"/>
          <w:kern w:val="0"/>
        </w:rPr>
      </w:pPr>
      <w:r>
        <w:rPr>
          <w:rFonts w:hint="eastAsia" w:ascii="宋体" w:hAnsi="宋体"/>
          <w:kern w:val="0"/>
        </w:rPr>
        <w:t>（4）天财财务系统</w:t>
      </w:r>
      <w:r>
        <w:rPr>
          <w:rFonts w:ascii="宋体" w:hAnsi="宋体"/>
          <w:kern w:val="0"/>
        </w:rPr>
        <w:t>配合进行新财务会计科目配置，财务费用对应关系配置；</w:t>
      </w:r>
    </w:p>
    <w:p>
      <w:pPr>
        <w:spacing w:line="570" w:lineRule="exact"/>
        <w:ind w:firstLine="640"/>
        <w:rPr>
          <w:rFonts w:ascii="宋体" w:hAnsi="宋体"/>
          <w:kern w:val="0"/>
        </w:rPr>
      </w:pPr>
      <w:r>
        <w:rPr>
          <w:rFonts w:hint="eastAsia" w:ascii="宋体" w:hAnsi="宋体"/>
          <w:kern w:val="0"/>
        </w:rPr>
        <w:t>（5）天财财务系统</w:t>
      </w:r>
      <w:r>
        <w:rPr>
          <w:rFonts w:ascii="宋体" w:hAnsi="宋体"/>
          <w:kern w:val="0"/>
        </w:rPr>
        <w:t>配合</w:t>
      </w:r>
      <w:r>
        <w:rPr>
          <w:rFonts w:hint="eastAsia" w:ascii="宋体" w:hAnsi="宋体"/>
          <w:kern w:val="0"/>
        </w:rPr>
        <w:t>思必得资产系统</w:t>
      </w:r>
      <w:r>
        <w:rPr>
          <w:rFonts w:ascii="宋体" w:hAnsi="宋体"/>
          <w:kern w:val="0"/>
        </w:rPr>
        <w:t>进行新接口配置、调试；</w:t>
      </w:r>
    </w:p>
    <w:p>
      <w:pPr>
        <w:spacing w:line="570" w:lineRule="exact"/>
        <w:ind w:firstLine="640"/>
        <w:rPr>
          <w:rFonts w:ascii="宋体" w:hAnsi="宋体"/>
          <w:kern w:val="0"/>
        </w:rPr>
      </w:pPr>
      <w:r>
        <w:rPr>
          <w:rFonts w:hint="eastAsia" w:ascii="宋体" w:hAnsi="宋体"/>
          <w:kern w:val="0"/>
        </w:rPr>
        <w:t>（6）双方</w:t>
      </w:r>
      <w:r>
        <w:rPr>
          <w:rFonts w:ascii="宋体" w:hAnsi="宋体"/>
          <w:kern w:val="0"/>
        </w:rPr>
        <w:t>正式启用财务接口；</w:t>
      </w:r>
    </w:p>
    <w:p>
      <w:pPr>
        <w:spacing w:line="570" w:lineRule="exact"/>
        <w:ind w:firstLine="640"/>
        <w:rPr>
          <w:rFonts w:ascii="宋体" w:hAnsi="宋体"/>
          <w:kern w:val="0"/>
        </w:rPr>
      </w:pPr>
      <w:r>
        <w:rPr>
          <w:rFonts w:hint="eastAsia" w:ascii="宋体" w:hAnsi="宋体"/>
          <w:kern w:val="0"/>
        </w:rPr>
        <w:t>（7）学校</w:t>
      </w:r>
      <w:r>
        <w:rPr>
          <w:rFonts w:ascii="宋体" w:hAnsi="宋体"/>
          <w:kern w:val="0"/>
        </w:rPr>
        <w:t>使用财务接口进行资产业务办理、资产对账、资产折旧数据报送。</w:t>
      </w:r>
    </w:p>
    <w:p>
      <w:pPr>
        <w:spacing w:line="570" w:lineRule="exact"/>
        <w:ind w:left="640"/>
        <w:rPr>
          <w:rFonts w:ascii="宋体" w:hAnsi="宋体"/>
          <w:kern w:val="0"/>
        </w:rPr>
      </w:pPr>
      <w:r>
        <w:rPr>
          <w:rFonts w:hint="eastAsia" w:ascii="宋体" w:hAnsi="宋体"/>
          <w:kern w:val="0"/>
        </w:rPr>
        <w:t>（三）新增对账管理功能</w:t>
      </w:r>
    </w:p>
    <w:p>
      <w:pPr>
        <w:spacing w:line="570" w:lineRule="exact"/>
        <w:ind w:firstLine="640"/>
        <w:rPr>
          <w:rFonts w:ascii="宋体" w:hAnsi="宋体"/>
          <w:kern w:val="0"/>
        </w:rPr>
      </w:pPr>
      <w:r>
        <w:rPr>
          <w:rFonts w:hint="eastAsia" w:ascii="宋体" w:hAnsi="宋体"/>
          <w:kern w:val="0"/>
        </w:rPr>
        <w:t>1</w:t>
      </w:r>
      <w:r>
        <w:rPr>
          <w:rFonts w:ascii="宋体" w:hAnsi="宋体"/>
          <w:kern w:val="0"/>
        </w:rPr>
        <w:t xml:space="preserve">. </w:t>
      </w:r>
      <w:r>
        <w:rPr>
          <w:rFonts w:hint="eastAsia" w:ascii="宋体" w:hAnsi="宋体"/>
          <w:kern w:val="0"/>
        </w:rPr>
        <w:t>现状问题</w:t>
      </w:r>
    </w:p>
    <w:p>
      <w:pPr>
        <w:spacing w:line="570" w:lineRule="exact"/>
        <w:ind w:firstLine="640"/>
        <w:rPr>
          <w:rFonts w:ascii="宋体" w:hAnsi="宋体"/>
          <w:kern w:val="0"/>
        </w:rPr>
      </w:pPr>
      <w:r>
        <w:rPr>
          <w:rFonts w:hint="eastAsia" w:ascii="宋体" w:hAnsi="宋体"/>
          <w:kern w:val="0"/>
        </w:rPr>
        <w:t>原来国资处采用传统线下打印报表，由人工来逐条核对资产账与财务账是否相符，常见以下问题：</w:t>
      </w:r>
    </w:p>
    <w:p>
      <w:pPr>
        <w:spacing w:line="570" w:lineRule="exact"/>
        <w:ind w:firstLine="640"/>
        <w:rPr>
          <w:rFonts w:ascii="宋体" w:hAnsi="宋体"/>
          <w:kern w:val="0"/>
        </w:rPr>
      </w:pPr>
      <w:r>
        <w:rPr>
          <w:rFonts w:hint="eastAsia" w:ascii="宋体" w:hAnsi="宋体"/>
          <w:kern w:val="0"/>
        </w:rPr>
        <w:t>（1）耗时费力，长期加班，效率低；</w:t>
      </w:r>
    </w:p>
    <w:p>
      <w:pPr>
        <w:spacing w:line="570" w:lineRule="exact"/>
        <w:ind w:firstLine="640"/>
        <w:rPr>
          <w:rFonts w:ascii="宋体" w:hAnsi="宋体"/>
          <w:kern w:val="0"/>
        </w:rPr>
      </w:pPr>
      <w:r>
        <w:rPr>
          <w:rFonts w:hint="eastAsia" w:ascii="宋体" w:hAnsi="宋体"/>
          <w:kern w:val="0"/>
        </w:rPr>
        <w:t>（2）数据准确率低；</w:t>
      </w:r>
    </w:p>
    <w:p>
      <w:pPr>
        <w:spacing w:line="570" w:lineRule="exact"/>
        <w:ind w:firstLine="640"/>
        <w:rPr>
          <w:rFonts w:ascii="宋体" w:hAnsi="宋体"/>
          <w:kern w:val="0"/>
        </w:rPr>
      </w:pPr>
      <w:r>
        <w:rPr>
          <w:rFonts w:hint="eastAsia" w:ascii="宋体" w:hAnsi="宋体"/>
          <w:kern w:val="0"/>
        </w:rPr>
        <w:t>（3）不利于检索、统计，难以形成国有资产管理的决策依据；</w:t>
      </w:r>
    </w:p>
    <w:p>
      <w:pPr>
        <w:spacing w:line="570" w:lineRule="exact"/>
        <w:ind w:firstLine="640"/>
        <w:rPr>
          <w:rFonts w:ascii="宋体" w:hAnsi="宋体"/>
          <w:kern w:val="0"/>
        </w:rPr>
      </w:pPr>
      <w:r>
        <w:rPr>
          <w:rFonts w:hint="eastAsia" w:ascii="宋体" w:hAnsi="宋体"/>
          <w:kern w:val="0"/>
        </w:rPr>
        <w:t>（4）每次数据上报都需要修改成符合各个上级部门所需的报表格式，并反复查询相关数据；</w:t>
      </w:r>
    </w:p>
    <w:p>
      <w:pPr>
        <w:spacing w:line="570" w:lineRule="exact"/>
        <w:ind w:firstLine="640"/>
        <w:rPr>
          <w:rFonts w:ascii="宋体" w:hAnsi="宋体"/>
          <w:kern w:val="0"/>
        </w:rPr>
      </w:pPr>
      <w:r>
        <w:rPr>
          <w:rFonts w:hint="eastAsia" w:ascii="宋体" w:hAnsi="宋体"/>
          <w:kern w:val="0"/>
        </w:rPr>
        <w:t>2</w:t>
      </w:r>
      <w:r>
        <w:rPr>
          <w:rFonts w:ascii="宋体" w:hAnsi="宋体"/>
          <w:kern w:val="0"/>
        </w:rPr>
        <w:t xml:space="preserve">. </w:t>
      </w:r>
      <w:r>
        <w:rPr>
          <w:rFonts w:hint="eastAsia" w:ascii="宋体" w:hAnsi="宋体"/>
          <w:kern w:val="0"/>
        </w:rPr>
        <w:t>实现目标</w:t>
      </w:r>
    </w:p>
    <w:p>
      <w:pPr>
        <w:jc w:val="center"/>
        <w:rPr>
          <w:rFonts w:ascii="宋体" w:hAnsi="宋体"/>
          <w:kern w:val="0"/>
        </w:rPr>
      </w:pPr>
      <w:r>
        <w:rPr>
          <w:rFonts w:ascii="宋体" w:hAnsi="宋体"/>
          <w:kern w:val="0"/>
        </w:rPr>
        <w:drawing>
          <wp:inline distT="0" distB="0" distL="0" distR="0">
            <wp:extent cx="5168900" cy="877570"/>
            <wp:effectExtent l="19050" t="0" r="1270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spacing w:line="570" w:lineRule="exact"/>
        <w:ind w:firstLine="640"/>
        <w:rPr>
          <w:rFonts w:ascii="宋体" w:hAnsi="宋体"/>
          <w:kern w:val="0"/>
        </w:rPr>
      </w:pPr>
      <w:r>
        <w:rPr>
          <w:rFonts w:hint="eastAsia" w:ascii="宋体" w:hAnsi="宋体"/>
          <w:kern w:val="0"/>
        </w:rPr>
        <w:t>本次系统升级后可实现两账动态对比，能够显示资产业务号，财务凭证号，资产金额，财务报销金额，凭证日期，及对账结果（账账相符、金额不符、财务未达账）。同时实现财务接口实时数据监控，国资处能够查看已提交业务、被驳回业务、已报账业务、提交失败业务、财务未达账业务及刷新异常日志。</w:t>
      </w:r>
    </w:p>
    <w:p>
      <w:pPr>
        <w:spacing w:line="570" w:lineRule="exact"/>
        <w:ind w:firstLine="640"/>
        <w:rPr>
          <w:rFonts w:ascii="宋体" w:hAnsi="宋体"/>
          <w:kern w:val="0"/>
        </w:rPr>
      </w:pPr>
      <w:r>
        <w:rPr>
          <w:rFonts w:hint="eastAsia" w:ascii="宋体" w:hAnsi="宋体"/>
          <w:kern w:val="0"/>
        </w:rPr>
        <w:t>3</w:t>
      </w:r>
      <w:r>
        <w:rPr>
          <w:rFonts w:ascii="宋体" w:hAnsi="宋体"/>
          <w:kern w:val="0"/>
        </w:rPr>
        <w:t xml:space="preserve">. </w:t>
      </w:r>
      <w:r>
        <w:rPr>
          <w:rFonts w:hint="eastAsia" w:ascii="宋体" w:hAnsi="宋体"/>
          <w:kern w:val="0"/>
        </w:rPr>
        <w:t>对账管理升级功能</w:t>
      </w:r>
    </w:p>
    <w:p>
      <w:pPr>
        <w:spacing w:line="570" w:lineRule="exact"/>
        <w:ind w:firstLine="640"/>
        <w:rPr>
          <w:rFonts w:ascii="宋体" w:hAnsi="宋体"/>
          <w:kern w:val="0"/>
        </w:rPr>
      </w:pPr>
      <w:r>
        <w:rPr>
          <w:rFonts w:hint="eastAsia" w:ascii="宋体" w:hAnsi="宋体"/>
          <w:kern w:val="0"/>
        </w:rPr>
        <w:t>（1）</w:t>
      </w:r>
      <w:r>
        <w:rPr>
          <w:rFonts w:ascii="宋体" w:hAnsi="宋体"/>
          <w:kern w:val="0"/>
        </w:rPr>
        <w:t>对账基础设置</w:t>
      </w:r>
    </w:p>
    <w:p>
      <w:pPr>
        <w:spacing w:line="570" w:lineRule="exact"/>
        <w:ind w:firstLine="640"/>
        <w:rPr>
          <w:rFonts w:ascii="宋体" w:hAnsi="宋体"/>
          <w:kern w:val="0"/>
        </w:rPr>
      </w:pPr>
      <w:r>
        <w:rPr>
          <w:rFonts w:hint="eastAsia" w:ascii="宋体" w:hAnsi="宋体"/>
          <w:kern w:val="0"/>
        </w:rPr>
        <w:t>国资处可以从资产类别、资产归属等角度设置对账基本条件范围。由系统管理员根据需要对账的范围设置创建一个对账任务计划。</w:t>
      </w:r>
    </w:p>
    <w:p>
      <w:pPr>
        <w:spacing w:line="570" w:lineRule="exact"/>
        <w:ind w:firstLine="640"/>
        <w:rPr>
          <w:rFonts w:ascii="宋体" w:hAnsi="宋体"/>
          <w:kern w:val="0"/>
        </w:rPr>
      </w:pPr>
      <w:r>
        <w:rPr>
          <w:rFonts w:hint="eastAsia" w:ascii="宋体" w:hAnsi="宋体"/>
          <w:kern w:val="0"/>
        </w:rPr>
        <w:t>（2）</w:t>
      </w:r>
      <w:r>
        <w:rPr>
          <w:rFonts w:ascii="宋体" w:hAnsi="宋体"/>
          <w:kern w:val="0"/>
        </w:rPr>
        <w:t>对账数据准备</w:t>
      </w:r>
    </w:p>
    <w:p>
      <w:pPr>
        <w:spacing w:line="570" w:lineRule="exact"/>
        <w:ind w:firstLine="640"/>
        <w:rPr>
          <w:rFonts w:ascii="宋体" w:hAnsi="宋体"/>
          <w:kern w:val="0"/>
        </w:rPr>
      </w:pPr>
      <w:r>
        <w:rPr>
          <w:rFonts w:hint="eastAsia" w:ascii="宋体" w:hAnsi="宋体"/>
          <w:kern w:val="0"/>
        </w:rPr>
        <w:t>思必得资产管理系统自动提取资产快照数据，形成待对账清单。资产管理员也可以导入财务资产报账数据模板的方式，形成待对账财务资产清单。</w:t>
      </w:r>
    </w:p>
    <w:p>
      <w:pPr>
        <w:spacing w:line="570" w:lineRule="exact"/>
        <w:ind w:firstLine="640"/>
        <w:rPr>
          <w:rFonts w:ascii="宋体" w:hAnsi="宋体"/>
          <w:kern w:val="0"/>
        </w:rPr>
      </w:pPr>
      <w:r>
        <w:rPr>
          <w:rFonts w:hint="eastAsia" w:ascii="宋体" w:hAnsi="宋体"/>
          <w:kern w:val="0"/>
        </w:rPr>
        <w:t>（3）</w:t>
      </w:r>
      <w:r>
        <w:rPr>
          <w:rFonts w:ascii="宋体" w:hAnsi="宋体"/>
          <w:kern w:val="0"/>
        </w:rPr>
        <w:t>执行对账</w:t>
      </w:r>
      <w:r>
        <w:rPr>
          <w:rFonts w:hint="eastAsia" w:ascii="宋体" w:hAnsi="宋体"/>
          <w:kern w:val="0"/>
        </w:rPr>
        <w:t>及处理</w:t>
      </w:r>
    </w:p>
    <w:p>
      <w:pPr>
        <w:spacing w:line="570" w:lineRule="exact"/>
        <w:ind w:firstLine="640"/>
        <w:rPr>
          <w:rFonts w:ascii="宋体" w:hAnsi="宋体"/>
          <w:kern w:val="0"/>
        </w:rPr>
      </w:pPr>
      <w:r>
        <w:rPr>
          <w:rFonts w:hint="eastAsia" w:ascii="宋体" w:hAnsi="宋体"/>
          <w:kern w:val="0"/>
        </w:rPr>
        <w:t>思必得资产管理系统中由程序进行自动对账，然后形成对账结果。包含：账账相符、金额不符、财务未达账、资产无账、不予对账。形成的结果由国资处与财务处线下比对异常数据来最终确定是更改财务报账信息或更改资产库存信息，实现资产账与财务账的“账账相符”。</w:t>
      </w:r>
    </w:p>
    <w:p>
      <w:pPr>
        <w:spacing w:line="570" w:lineRule="exact"/>
        <w:ind w:firstLine="640"/>
        <w:rPr>
          <w:rFonts w:ascii="宋体" w:hAnsi="宋体"/>
          <w:kern w:val="0"/>
        </w:rPr>
      </w:pPr>
      <w:r>
        <w:rPr>
          <w:rFonts w:hint="eastAsia" w:ascii="宋体" w:hAnsi="宋体"/>
          <w:kern w:val="0"/>
        </w:rPr>
        <w:t>（4）对账结果国资处可执行归档操作。</w:t>
      </w:r>
    </w:p>
    <w:p>
      <w:pPr>
        <w:spacing w:line="570" w:lineRule="exact"/>
        <w:ind w:firstLine="640"/>
        <w:rPr>
          <w:rFonts w:ascii="宋体" w:hAnsi="宋体"/>
          <w:kern w:val="0"/>
        </w:rPr>
      </w:pPr>
      <w:r>
        <w:rPr>
          <w:rFonts w:ascii="宋体" w:hAnsi="宋体"/>
          <w:kern w:val="0"/>
        </w:rPr>
        <w:t xml:space="preserve">4. </w:t>
      </w:r>
      <w:r>
        <w:rPr>
          <w:rFonts w:hint="eastAsia" w:ascii="宋体" w:hAnsi="宋体"/>
          <w:kern w:val="0"/>
        </w:rPr>
        <w:t>数据管理功能升级</w:t>
      </w:r>
    </w:p>
    <w:p>
      <w:pPr>
        <w:spacing w:line="570" w:lineRule="exact"/>
        <w:ind w:firstLine="640"/>
        <w:rPr>
          <w:rFonts w:ascii="宋体" w:hAnsi="宋体"/>
          <w:kern w:val="0"/>
        </w:rPr>
      </w:pPr>
      <w:r>
        <w:rPr>
          <w:rFonts w:hint="eastAsia" w:ascii="宋体" w:hAnsi="宋体"/>
          <w:kern w:val="0"/>
        </w:rPr>
        <w:t>（1）</w:t>
      </w:r>
      <w:r>
        <w:rPr>
          <w:rFonts w:ascii="宋体" w:hAnsi="宋体"/>
          <w:kern w:val="0"/>
        </w:rPr>
        <w:t>入账时间调整</w:t>
      </w:r>
    </w:p>
    <w:p>
      <w:pPr>
        <w:spacing w:line="570" w:lineRule="exact"/>
        <w:ind w:firstLine="640"/>
        <w:rPr>
          <w:rFonts w:ascii="宋体" w:hAnsi="宋体"/>
          <w:kern w:val="0"/>
        </w:rPr>
      </w:pPr>
      <w:r>
        <w:rPr>
          <w:rFonts w:hint="eastAsia" w:ascii="宋体" w:hAnsi="宋体"/>
          <w:kern w:val="0"/>
        </w:rPr>
        <w:t>实现国资处资产系统管理员可以对主机库资产入库时间进行调整，主要解决跨月、跨年的入库时间不一致，或者报销时间不一致造成的账账不符情况，且调整的时间都将在资产管理系统自动生成变动记录。</w:t>
      </w:r>
    </w:p>
    <w:p>
      <w:pPr>
        <w:spacing w:line="570" w:lineRule="exact"/>
        <w:ind w:firstLine="640"/>
        <w:rPr>
          <w:rFonts w:ascii="宋体" w:hAnsi="宋体"/>
          <w:kern w:val="0"/>
        </w:rPr>
      </w:pPr>
      <w:r>
        <w:rPr>
          <w:rFonts w:hint="eastAsia" w:ascii="宋体" w:hAnsi="宋体"/>
          <w:kern w:val="0"/>
        </w:rPr>
        <w:t>（2）数据上报管理</w:t>
      </w:r>
    </w:p>
    <w:p>
      <w:pPr>
        <w:spacing w:line="570" w:lineRule="exact"/>
        <w:ind w:firstLine="640"/>
        <w:rPr>
          <w:rFonts w:ascii="宋体" w:hAnsi="宋体"/>
          <w:kern w:val="0"/>
        </w:rPr>
      </w:pPr>
      <w:r>
        <w:rPr>
          <w:rFonts w:hint="eastAsia" w:ascii="宋体" w:hAnsi="宋体"/>
          <w:kern w:val="0"/>
        </w:rPr>
        <w:t>依据四川省财政厅的国有资产数据上报要求，思必得资产管理系统需调整报表字段与财政三期资产上报系统（久其）的报表字段一致、格式一致，并实现在思必得资产管理系统内可一键生成财政三期资产上报系统（久其）需要的资产明细数据报表，由国资处工作人员从思必得系统导出即可上报到财政三期资产上报系统（久其）中。</w:t>
      </w:r>
    </w:p>
    <w:p>
      <w:pPr>
        <w:spacing w:line="570" w:lineRule="exact"/>
        <w:ind w:firstLine="640"/>
        <w:rPr>
          <w:rFonts w:ascii="宋体" w:hAnsi="宋体"/>
          <w:kern w:val="0"/>
        </w:rPr>
      </w:pPr>
      <w:r>
        <w:rPr>
          <w:rFonts w:hint="eastAsia" w:ascii="宋体" w:hAnsi="宋体"/>
          <w:kern w:val="0"/>
        </w:rPr>
        <w:t>（3）多账套数据管理</w:t>
      </w:r>
    </w:p>
    <w:p>
      <w:pPr>
        <w:spacing w:line="570" w:lineRule="exact"/>
        <w:ind w:firstLine="640"/>
        <w:rPr>
          <w:rFonts w:ascii="宋体" w:hAnsi="宋体"/>
          <w:kern w:val="0"/>
        </w:rPr>
      </w:pPr>
      <w:r>
        <w:rPr>
          <w:rFonts w:hint="eastAsia" w:ascii="宋体" w:hAnsi="宋体"/>
          <w:kern w:val="0"/>
        </w:rPr>
        <w:t>将思必得资产管理系统与财政三期资产上报系统（久其）中，成都大学全校的资产数据进行对比，并将多出部分的资产独立存储在思必得资产系统内，但此部分数据仅作为存档管理，不进行资产折旧和数据上报，旨在解决两套系统数据不一致的对账问题，提升数据上报效率。</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altName w:val="Arial Unicode MS"/>
    <w:panose1 w:val="02010601030101010101"/>
    <w:charset w:val="86"/>
    <w:family w:val="auto"/>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4A"/>
    <w:rsid w:val="001B5140"/>
    <w:rsid w:val="00293C14"/>
    <w:rsid w:val="00351B6E"/>
    <w:rsid w:val="003B1285"/>
    <w:rsid w:val="004E7079"/>
    <w:rsid w:val="005C1665"/>
    <w:rsid w:val="007161EA"/>
    <w:rsid w:val="00723E41"/>
    <w:rsid w:val="00B152F4"/>
    <w:rsid w:val="00BD0BB9"/>
    <w:rsid w:val="00D619A5"/>
    <w:rsid w:val="00ED5B4A"/>
    <w:rsid w:val="00EE7E3C"/>
    <w:rsid w:val="37D3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字符"/>
    <w:basedOn w:val="7"/>
    <w:link w:val="2"/>
    <w:qFormat/>
    <w:uiPriority w:val="9"/>
    <w:rPr>
      <w:rFonts w:ascii="Times New Roman" w:hAnsi="Times New Roman" w:eastAsia="宋体" w:cs="Times New Roman"/>
      <w:b/>
      <w:bCs/>
      <w:kern w:val="44"/>
      <w:sz w:val="44"/>
      <w:szCs w:val="44"/>
    </w:rPr>
  </w:style>
  <w:style w:type="paragraph" w:styleId="9">
    <w:name w:val="List Paragraph"/>
    <w:basedOn w:val="1"/>
    <w:qFormat/>
    <w:uiPriority w:val="34"/>
    <w:pPr>
      <w:ind w:firstLine="420" w:firstLineChars="200"/>
    </w:pPr>
  </w:style>
  <w:style w:type="character" w:customStyle="1" w:styleId="10">
    <w:name w:val="页眉 字符"/>
    <w:basedOn w:val="7"/>
    <w:link w:val="4"/>
    <w:uiPriority w:val="99"/>
    <w:rPr>
      <w:rFonts w:ascii="Times New Roman" w:hAnsi="Times New Roman" w:eastAsia="宋体" w:cs="Times New Roman"/>
      <w:sz w:val="18"/>
      <w:szCs w:val="18"/>
    </w:rPr>
  </w:style>
  <w:style w:type="character" w:customStyle="1" w:styleId="11">
    <w:name w:val="页脚 字符"/>
    <w:basedOn w:val="7"/>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diagramColors" Target="diagrams/colors1.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8F67E54-A24E-43B0-928A-93E4DA8B5C5C}" type="doc">
      <dgm:prSet loTypeId="urn:microsoft.com/office/officeart/2005/8/layout/hProcess9#1" loCatId="process" qsTypeId="urn:microsoft.com/office/officeart/2005/8/quickstyle/simple1#1" qsCatId="simple" csTypeId="urn:microsoft.com/office/officeart/2005/8/colors/accent1_2#1" csCatId="accent1" phldr="1"/>
      <dgm:spPr/>
      <dgm:t>
        <a:bodyPr/>
        <a:p>
          <a:endParaRPr lang="zh-CN" altLang="en-US"/>
        </a:p>
      </dgm:t>
    </dgm:pt>
    <dgm:pt modelId="{9D5E6D6D-8B1B-485B-97FC-C2F5268D7261}">
      <dgm:prSet custT="1"/>
      <dgm:spPr>
        <a:xfrm>
          <a:off x="1341265" y="263652"/>
          <a:ext cx="1148141" cy="3515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p>
          <a:pPr algn="ctr">
            <a:buNone/>
          </a:pPr>
          <a:r>
            <a:rPr lang="zh-CN" altLang="en-US" sz="1200" dirty="0">
              <a:solidFill>
                <a:sysClr val="window" lastClr="FFFFFF"/>
              </a:solidFill>
              <a:latin typeface="微软雅黑" panose="020B0503020204020204" pitchFamily="34" charset="-122"/>
              <a:ea typeface="微软雅黑" panose="020B0503020204020204" pitchFamily="34" charset="-122"/>
              <a:cs typeface="+mn-cs"/>
            </a:rPr>
            <a:t>对账数据准备</a:t>
          </a:r>
        </a:p>
      </dgm:t>
    </dgm:pt>
    <dgm:pt modelId="{41347745-B273-464A-BD49-433D13BC1071}" cxnId="{441A834D-75CD-4EF9-BCDD-B06E704AD803}" type="parTrans">
      <dgm:prSet/>
      <dgm:spPr/>
      <dgm:t>
        <a:bodyPr/>
        <a:p>
          <a:pPr algn="ctr"/>
          <a:endParaRPr lang="zh-CN" altLang="en-US">
            <a:latin typeface="微软雅黑" panose="020B0503020204020204" pitchFamily="34" charset="-122"/>
            <a:ea typeface="微软雅黑" panose="020B0503020204020204" pitchFamily="34" charset="-122"/>
          </a:endParaRPr>
        </a:p>
      </dgm:t>
    </dgm:pt>
    <dgm:pt modelId="{A4C90501-B7CD-43B9-A3AA-FA4CFFC84659}" cxnId="{441A834D-75CD-4EF9-BCDD-B06E704AD803}" type="sibTrans">
      <dgm:prSet/>
      <dgm:spPr/>
      <dgm:t>
        <a:bodyPr/>
        <a:p>
          <a:pPr algn="ctr"/>
          <a:endParaRPr lang="zh-CN" altLang="en-US">
            <a:latin typeface="微软雅黑" panose="020B0503020204020204" pitchFamily="34" charset="-122"/>
            <a:ea typeface="微软雅黑" panose="020B0503020204020204" pitchFamily="34" charset="-122"/>
          </a:endParaRPr>
        </a:p>
      </dgm:t>
    </dgm:pt>
    <dgm:pt modelId="{CD70F794-1BC4-4D21-A52F-80611111CCA5}">
      <dgm:prSet custT="1"/>
      <dgm:spPr>
        <a:xfrm>
          <a:off x="2680763" y="263652"/>
          <a:ext cx="1148141" cy="3515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p>
          <a:pPr algn="ctr">
            <a:buNone/>
          </a:pPr>
          <a:r>
            <a:rPr lang="zh-CN" altLang="en-US" sz="1200" dirty="0">
              <a:solidFill>
                <a:sysClr val="window" lastClr="FFFFFF"/>
              </a:solidFill>
              <a:latin typeface="微软雅黑" panose="020B0503020204020204" pitchFamily="34" charset="-122"/>
              <a:ea typeface="微软雅黑" panose="020B0503020204020204" pitchFamily="34" charset="-122"/>
              <a:cs typeface="+mn-cs"/>
            </a:rPr>
            <a:t>执行对账</a:t>
          </a:r>
        </a:p>
      </dgm:t>
    </dgm:pt>
    <dgm:pt modelId="{B05F73EB-B107-40FD-A0E3-35862DE753B7}" cxnId="{C416D18B-9237-4F0A-9B58-BF8FC780C302}" type="parTrans">
      <dgm:prSet/>
      <dgm:spPr/>
      <dgm:t>
        <a:bodyPr/>
        <a:p>
          <a:pPr algn="ctr"/>
          <a:endParaRPr lang="zh-CN" altLang="en-US"/>
        </a:p>
      </dgm:t>
    </dgm:pt>
    <dgm:pt modelId="{37047999-3592-43BB-BB54-C7691F17D005}" cxnId="{C416D18B-9237-4F0A-9B58-BF8FC780C302}" type="sibTrans">
      <dgm:prSet/>
      <dgm:spPr/>
      <dgm:t>
        <a:bodyPr/>
        <a:p>
          <a:pPr algn="ctr"/>
          <a:endParaRPr lang="zh-CN" altLang="en-US"/>
        </a:p>
      </dgm:t>
    </dgm:pt>
    <dgm:pt modelId="{61E9EE87-23DD-6347-86BE-B5C501F7153E}">
      <dgm:prSet custT="1"/>
      <dgm:spPr>
        <a:xfrm>
          <a:off x="1767" y="263652"/>
          <a:ext cx="1148141" cy="3515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p>
          <a:pPr algn="ctr">
            <a:buNone/>
          </a:pPr>
          <a:r>
            <a:rPr lang="zh-CN" altLang="en-US" sz="1200" dirty="0">
              <a:solidFill>
                <a:sysClr val="window" lastClr="FFFFFF"/>
              </a:solidFill>
              <a:latin typeface="微软雅黑" panose="020B0503020204020204" pitchFamily="34" charset="-122"/>
              <a:ea typeface="微软雅黑" panose="020B0503020204020204" pitchFamily="34" charset="-122"/>
              <a:cs typeface="+mn-cs"/>
            </a:rPr>
            <a:t>对账基础设置</a:t>
          </a:r>
        </a:p>
      </dgm:t>
    </dgm:pt>
    <dgm:pt modelId="{D39388A6-D94B-0C4D-860D-45A211FC1394}" cxnId="{048A60AC-2E1D-8541-8772-0402A846FF89}" type="parTrans">
      <dgm:prSet/>
      <dgm:spPr/>
      <dgm:t>
        <a:bodyPr/>
        <a:p>
          <a:pPr algn="ctr"/>
          <a:endParaRPr lang="zh-CN" altLang="en-US"/>
        </a:p>
      </dgm:t>
    </dgm:pt>
    <dgm:pt modelId="{402B100B-098E-1A4F-8FB0-81E1D4BB47E6}" cxnId="{048A60AC-2E1D-8541-8772-0402A846FF89}" type="sibTrans">
      <dgm:prSet/>
      <dgm:spPr/>
      <dgm:t>
        <a:bodyPr/>
        <a:p>
          <a:pPr algn="ctr"/>
          <a:endParaRPr lang="zh-CN" altLang="en-US"/>
        </a:p>
      </dgm:t>
    </dgm:pt>
    <dgm:pt modelId="{63831533-6B37-0B4C-A543-2A8E590D0CF1}">
      <dgm:prSet custT="1"/>
      <dgm:spPr>
        <a:xfrm>
          <a:off x="4020261" y="263652"/>
          <a:ext cx="1148141" cy="3515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p>
          <a:pPr algn="ctr">
            <a:buNone/>
          </a:pPr>
          <a:r>
            <a:rPr lang="zh-CN" altLang="en-US" sz="1200" dirty="0">
              <a:solidFill>
                <a:sysClr val="window" lastClr="FFFFFF"/>
              </a:solidFill>
              <a:latin typeface="微软雅黑" panose="020B0503020204020204" pitchFamily="34" charset="-122"/>
              <a:ea typeface="微软雅黑" panose="020B0503020204020204" pitchFamily="34" charset="-122"/>
              <a:cs typeface="+mn-cs"/>
            </a:rPr>
            <a:t>完成对账</a:t>
          </a:r>
        </a:p>
      </dgm:t>
    </dgm:pt>
    <dgm:pt modelId="{D0CE8106-4FEF-DB49-888F-7740B46AE44B}" cxnId="{F4B96229-C47A-EF4E-92E5-CAE0EBC7B5A4}" type="parTrans">
      <dgm:prSet/>
      <dgm:spPr/>
      <dgm:t>
        <a:bodyPr/>
        <a:p>
          <a:endParaRPr lang="zh-CN" altLang="en-US"/>
        </a:p>
      </dgm:t>
    </dgm:pt>
    <dgm:pt modelId="{DE818945-2D14-CF4C-B62A-5E59277770CD}" cxnId="{F4B96229-C47A-EF4E-92E5-CAE0EBC7B5A4}" type="sibTrans">
      <dgm:prSet/>
      <dgm:spPr/>
      <dgm:t>
        <a:bodyPr/>
        <a:p>
          <a:endParaRPr lang="zh-CN" altLang="en-US"/>
        </a:p>
      </dgm:t>
    </dgm:pt>
    <dgm:pt modelId="{30342AE5-B404-4F84-88B8-8F123B4FBF7B}" type="pres">
      <dgm:prSet presAssocID="{A8F67E54-A24E-43B0-928A-93E4DA8B5C5C}" presName="CompostProcess" presStyleCnt="0">
        <dgm:presLayoutVars>
          <dgm:dir/>
          <dgm:resizeHandles val="exact"/>
        </dgm:presLayoutVars>
      </dgm:prSet>
      <dgm:spPr/>
    </dgm:pt>
    <dgm:pt modelId="{F08FC433-B38E-4F82-8539-A3EAE62D9937}" type="pres">
      <dgm:prSet presAssocID="{A8F67E54-A24E-43B0-928A-93E4DA8B5C5C}" presName="arrow" presStyleLbl="bgShp" presStyleIdx="0" presStyleCnt="1"/>
      <dgm:spPr>
        <a:xfrm>
          <a:off x="387762" y="0"/>
          <a:ext cx="4394644" cy="878840"/>
        </a:xfrm>
        <a:prstGeom prst="rightArrow">
          <a:avLst/>
        </a:prstGeom>
        <a:solidFill>
          <a:srgbClr val="4472C4">
            <a:tint val="40000"/>
            <a:hueOff val="0"/>
            <a:satOff val="0"/>
            <a:lumOff val="0"/>
            <a:alphaOff val="0"/>
          </a:srgbClr>
        </a:solidFill>
        <a:ln>
          <a:noFill/>
        </a:ln>
        <a:effectLst/>
      </dgm:spPr>
    </dgm:pt>
    <dgm:pt modelId="{B32F2007-E5C1-450A-9914-4BD3E05B3179}" type="pres">
      <dgm:prSet presAssocID="{A8F67E54-A24E-43B0-928A-93E4DA8B5C5C}" presName="linearProcess" presStyleCnt="0"/>
      <dgm:spPr/>
    </dgm:pt>
    <dgm:pt modelId="{E4E5833C-5477-8646-BF8C-3FA705AE8623}" type="pres">
      <dgm:prSet presAssocID="{61E9EE87-23DD-6347-86BE-B5C501F7153E}" presName="textNode" presStyleLbl="node1" presStyleIdx="0" presStyleCnt="4">
        <dgm:presLayoutVars>
          <dgm:bulletEnabled val="1"/>
        </dgm:presLayoutVars>
      </dgm:prSet>
      <dgm:spPr/>
    </dgm:pt>
    <dgm:pt modelId="{D0683261-931A-3349-AD04-8835A79422D7}" type="pres">
      <dgm:prSet presAssocID="{402B100B-098E-1A4F-8FB0-81E1D4BB47E6}" presName="sibTrans" presStyleCnt="0"/>
      <dgm:spPr/>
    </dgm:pt>
    <dgm:pt modelId="{CC43A0E7-E17D-4C66-B81D-A162C609D288}" type="pres">
      <dgm:prSet presAssocID="{9D5E6D6D-8B1B-485B-97FC-C2F5268D7261}" presName="textNode" presStyleLbl="node1" presStyleIdx="1" presStyleCnt="4">
        <dgm:presLayoutVars>
          <dgm:bulletEnabled val="1"/>
        </dgm:presLayoutVars>
      </dgm:prSet>
      <dgm:spPr/>
    </dgm:pt>
    <dgm:pt modelId="{7301C38D-3E81-41ED-8314-A8468B4CE569}" type="pres">
      <dgm:prSet presAssocID="{A4C90501-B7CD-43B9-A3AA-FA4CFFC84659}" presName="sibTrans" presStyleCnt="0"/>
      <dgm:spPr/>
    </dgm:pt>
    <dgm:pt modelId="{ADD555CC-136B-458E-BC5D-EB4BA0A54910}" type="pres">
      <dgm:prSet presAssocID="{CD70F794-1BC4-4D21-A52F-80611111CCA5}" presName="textNode" presStyleLbl="node1" presStyleIdx="2" presStyleCnt="4">
        <dgm:presLayoutVars>
          <dgm:bulletEnabled val="1"/>
        </dgm:presLayoutVars>
      </dgm:prSet>
      <dgm:spPr/>
    </dgm:pt>
    <dgm:pt modelId="{2A228623-892D-6544-98A6-5456390BB6BB}" type="pres">
      <dgm:prSet presAssocID="{37047999-3592-43BB-BB54-C7691F17D005}" presName="sibTrans" presStyleCnt="0"/>
      <dgm:spPr/>
    </dgm:pt>
    <dgm:pt modelId="{5D0BCA76-BC54-EF44-8D16-11ED8CA31DF9}" type="pres">
      <dgm:prSet presAssocID="{63831533-6B37-0B4C-A543-2A8E590D0CF1}" presName="textNode" presStyleLbl="node1" presStyleIdx="3" presStyleCnt="4">
        <dgm:presLayoutVars>
          <dgm:bulletEnabled val="1"/>
        </dgm:presLayoutVars>
      </dgm:prSet>
      <dgm:spPr/>
    </dgm:pt>
  </dgm:ptLst>
  <dgm:cxnLst>
    <dgm:cxn modelId="{F4B96229-C47A-EF4E-92E5-CAE0EBC7B5A4}" srcId="{A8F67E54-A24E-43B0-928A-93E4DA8B5C5C}" destId="{63831533-6B37-0B4C-A543-2A8E590D0CF1}" srcOrd="3" destOrd="0" parTransId="{D0CE8106-4FEF-DB49-888F-7740B46AE44B}" sibTransId="{DE818945-2D14-CF4C-B62A-5E59277770CD}"/>
    <dgm:cxn modelId="{C792EC3C-B9AA-43EA-B990-93BD37D64F33}" type="presOf" srcId="{9D5E6D6D-8B1B-485B-97FC-C2F5268D7261}" destId="{CC43A0E7-E17D-4C66-B81D-A162C609D288}" srcOrd="0" destOrd="0" presId="urn:microsoft.com/office/officeart/2005/8/layout/hProcess9#1"/>
    <dgm:cxn modelId="{7722A969-0F73-4896-8D2A-C4F815280605}" type="presOf" srcId="{CD70F794-1BC4-4D21-A52F-80611111CCA5}" destId="{ADD555CC-136B-458E-BC5D-EB4BA0A54910}" srcOrd="0" destOrd="0" presId="urn:microsoft.com/office/officeart/2005/8/layout/hProcess9#1"/>
    <dgm:cxn modelId="{441A834D-75CD-4EF9-BCDD-B06E704AD803}" srcId="{A8F67E54-A24E-43B0-928A-93E4DA8B5C5C}" destId="{9D5E6D6D-8B1B-485B-97FC-C2F5268D7261}" srcOrd="1" destOrd="0" parTransId="{41347745-B273-464A-BD49-433D13BC1071}" sibTransId="{A4C90501-B7CD-43B9-A3AA-FA4CFFC84659}"/>
    <dgm:cxn modelId="{C416D18B-9237-4F0A-9B58-BF8FC780C302}" srcId="{A8F67E54-A24E-43B0-928A-93E4DA8B5C5C}" destId="{CD70F794-1BC4-4D21-A52F-80611111CCA5}" srcOrd="2" destOrd="0" parTransId="{B05F73EB-B107-40FD-A0E3-35862DE753B7}" sibTransId="{37047999-3592-43BB-BB54-C7691F17D005}"/>
    <dgm:cxn modelId="{22506594-D017-41AA-A1BB-D7826F44F776}" type="presOf" srcId="{A8F67E54-A24E-43B0-928A-93E4DA8B5C5C}" destId="{30342AE5-B404-4F84-88B8-8F123B4FBF7B}" srcOrd="0" destOrd="0" presId="urn:microsoft.com/office/officeart/2005/8/layout/hProcess9#1"/>
    <dgm:cxn modelId="{048A60AC-2E1D-8541-8772-0402A846FF89}" srcId="{A8F67E54-A24E-43B0-928A-93E4DA8B5C5C}" destId="{61E9EE87-23DD-6347-86BE-B5C501F7153E}" srcOrd="0" destOrd="0" parTransId="{D39388A6-D94B-0C4D-860D-45A211FC1394}" sibTransId="{402B100B-098E-1A4F-8FB0-81E1D4BB47E6}"/>
    <dgm:cxn modelId="{D2BA97B7-2BB7-4C6D-8CAF-27F7DF2A70A3}" type="presOf" srcId="{61E9EE87-23DD-6347-86BE-B5C501F7153E}" destId="{E4E5833C-5477-8646-BF8C-3FA705AE8623}" srcOrd="0" destOrd="0" presId="urn:microsoft.com/office/officeart/2005/8/layout/hProcess9#1"/>
    <dgm:cxn modelId="{397F56F2-0B27-4398-88C7-931B223E2651}" type="presOf" srcId="{63831533-6B37-0B4C-A543-2A8E590D0CF1}" destId="{5D0BCA76-BC54-EF44-8D16-11ED8CA31DF9}" srcOrd="0" destOrd="0" presId="urn:microsoft.com/office/officeart/2005/8/layout/hProcess9#1"/>
    <dgm:cxn modelId="{9D7D57E0-DA40-43AB-9517-F1A76655AE34}" type="presParOf" srcId="{30342AE5-B404-4F84-88B8-8F123B4FBF7B}" destId="{F08FC433-B38E-4F82-8539-A3EAE62D9937}" srcOrd="0" destOrd="0" presId="urn:microsoft.com/office/officeart/2005/8/layout/hProcess9#1"/>
    <dgm:cxn modelId="{8242FEF4-6C20-40FB-B63D-C0634FA9DAA4}" type="presParOf" srcId="{30342AE5-B404-4F84-88B8-8F123B4FBF7B}" destId="{B32F2007-E5C1-450A-9914-4BD3E05B3179}" srcOrd="1" destOrd="0" presId="urn:microsoft.com/office/officeart/2005/8/layout/hProcess9#1"/>
    <dgm:cxn modelId="{55AF353D-9D1D-4E7B-90D3-185E0E88EE38}" type="presParOf" srcId="{B32F2007-E5C1-450A-9914-4BD3E05B3179}" destId="{E4E5833C-5477-8646-BF8C-3FA705AE8623}" srcOrd="0" destOrd="0" presId="urn:microsoft.com/office/officeart/2005/8/layout/hProcess9#1"/>
    <dgm:cxn modelId="{AE9ABBE5-6EE7-4DC0-A070-2D7D68F7821E}" type="presParOf" srcId="{B32F2007-E5C1-450A-9914-4BD3E05B3179}" destId="{D0683261-931A-3349-AD04-8835A79422D7}" srcOrd="1" destOrd="0" presId="urn:microsoft.com/office/officeart/2005/8/layout/hProcess9#1"/>
    <dgm:cxn modelId="{32CE4F00-F102-4D6A-A62F-D8F0FC5AB0D6}" type="presParOf" srcId="{B32F2007-E5C1-450A-9914-4BD3E05B3179}" destId="{CC43A0E7-E17D-4C66-B81D-A162C609D288}" srcOrd="2" destOrd="0" presId="urn:microsoft.com/office/officeart/2005/8/layout/hProcess9#1"/>
    <dgm:cxn modelId="{7B01F783-B0F0-48EA-A4F2-28600868AC3D}" type="presParOf" srcId="{B32F2007-E5C1-450A-9914-4BD3E05B3179}" destId="{7301C38D-3E81-41ED-8314-A8468B4CE569}" srcOrd="3" destOrd="0" presId="urn:microsoft.com/office/officeart/2005/8/layout/hProcess9#1"/>
    <dgm:cxn modelId="{32C46EBB-3135-45D5-8CD4-056EC9CEE7B7}" type="presParOf" srcId="{B32F2007-E5C1-450A-9914-4BD3E05B3179}" destId="{ADD555CC-136B-458E-BC5D-EB4BA0A54910}" srcOrd="4" destOrd="0" presId="urn:microsoft.com/office/officeart/2005/8/layout/hProcess9#1"/>
    <dgm:cxn modelId="{91FCCBE5-4ADF-4496-ABB3-6E331FB98B5A}" type="presParOf" srcId="{B32F2007-E5C1-450A-9914-4BD3E05B3179}" destId="{2A228623-892D-6544-98A6-5456390BB6BB}" srcOrd="5" destOrd="0" presId="urn:microsoft.com/office/officeart/2005/8/layout/hProcess9#1"/>
    <dgm:cxn modelId="{16A70B1C-B29C-40A4-892F-EF3F4AB065EA}" type="presParOf" srcId="{B32F2007-E5C1-450A-9914-4BD3E05B3179}" destId="{5D0BCA76-BC54-EF44-8D16-11ED8CA31DF9}" srcOrd="6" destOrd="0" presId="urn:microsoft.com/office/officeart/2005/8/layout/hProcess9#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8FC433-B38E-4F82-8539-A3EAE62D9937}">
      <dsp:nvSpPr>
        <dsp:cNvPr id="0" name=""/>
        <dsp:cNvSpPr/>
      </dsp:nvSpPr>
      <dsp:spPr>
        <a:xfrm>
          <a:off x="387667" y="0"/>
          <a:ext cx="4393565" cy="877570"/>
        </a:xfrm>
        <a:prstGeom prst="rightArrow">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E4E5833C-5477-8646-BF8C-3FA705AE8623}">
      <dsp:nvSpPr>
        <dsp:cNvPr id="0" name=""/>
        <dsp:cNvSpPr/>
      </dsp:nvSpPr>
      <dsp:spPr>
        <a:xfrm>
          <a:off x="1766" y="263271"/>
          <a:ext cx="1147859" cy="35102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altLang="en-US" sz="1200" kern="1200" dirty="0">
              <a:solidFill>
                <a:sysClr val="window" lastClr="FFFFFF"/>
              </a:solidFill>
              <a:latin typeface="微软雅黑" panose="020B0503020204020204" pitchFamily="34" charset="-122"/>
              <a:ea typeface="微软雅黑" panose="020B0503020204020204" pitchFamily="34" charset="-122"/>
              <a:cs typeface="+mn-cs"/>
            </a:rPr>
            <a:t>对账基础设置</a:t>
          </a:r>
        </a:p>
      </dsp:txBody>
      <dsp:txXfrm>
        <a:off x="18902" y="280407"/>
        <a:ext cx="1113587" cy="316756"/>
      </dsp:txXfrm>
    </dsp:sp>
    <dsp:sp modelId="{CC43A0E7-E17D-4C66-B81D-A162C609D288}">
      <dsp:nvSpPr>
        <dsp:cNvPr id="0" name=""/>
        <dsp:cNvSpPr/>
      </dsp:nvSpPr>
      <dsp:spPr>
        <a:xfrm>
          <a:off x="1340935" y="263271"/>
          <a:ext cx="1147859" cy="35102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altLang="en-US" sz="1200" kern="1200" dirty="0">
              <a:solidFill>
                <a:sysClr val="window" lastClr="FFFFFF"/>
              </a:solidFill>
              <a:latin typeface="微软雅黑" panose="020B0503020204020204" pitchFamily="34" charset="-122"/>
              <a:ea typeface="微软雅黑" panose="020B0503020204020204" pitchFamily="34" charset="-122"/>
              <a:cs typeface="+mn-cs"/>
            </a:rPr>
            <a:t>对账数据准备</a:t>
          </a:r>
        </a:p>
      </dsp:txBody>
      <dsp:txXfrm>
        <a:off x="1358071" y="280407"/>
        <a:ext cx="1113587" cy="316756"/>
      </dsp:txXfrm>
    </dsp:sp>
    <dsp:sp modelId="{ADD555CC-136B-458E-BC5D-EB4BA0A54910}">
      <dsp:nvSpPr>
        <dsp:cNvPr id="0" name=""/>
        <dsp:cNvSpPr/>
      </dsp:nvSpPr>
      <dsp:spPr>
        <a:xfrm>
          <a:off x="2680104" y="263271"/>
          <a:ext cx="1147859" cy="35102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altLang="en-US" sz="1200" kern="1200" dirty="0">
              <a:solidFill>
                <a:sysClr val="window" lastClr="FFFFFF"/>
              </a:solidFill>
              <a:latin typeface="微软雅黑" panose="020B0503020204020204" pitchFamily="34" charset="-122"/>
              <a:ea typeface="微软雅黑" panose="020B0503020204020204" pitchFamily="34" charset="-122"/>
              <a:cs typeface="+mn-cs"/>
            </a:rPr>
            <a:t>执行对账</a:t>
          </a:r>
        </a:p>
      </dsp:txBody>
      <dsp:txXfrm>
        <a:off x="2697240" y="280407"/>
        <a:ext cx="1113587" cy="316756"/>
      </dsp:txXfrm>
    </dsp:sp>
    <dsp:sp modelId="{5D0BCA76-BC54-EF44-8D16-11ED8CA31DF9}">
      <dsp:nvSpPr>
        <dsp:cNvPr id="0" name=""/>
        <dsp:cNvSpPr/>
      </dsp:nvSpPr>
      <dsp:spPr>
        <a:xfrm>
          <a:off x="4019274" y="263271"/>
          <a:ext cx="1147859" cy="35102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zh-CN" altLang="en-US" sz="1200" kern="1200" dirty="0">
              <a:solidFill>
                <a:sysClr val="window" lastClr="FFFFFF"/>
              </a:solidFill>
              <a:latin typeface="微软雅黑" panose="020B0503020204020204" pitchFamily="34" charset="-122"/>
              <a:ea typeface="微软雅黑" panose="020B0503020204020204" pitchFamily="34" charset="-122"/>
              <a:cs typeface="+mn-cs"/>
            </a:rPr>
            <a:t>完成对账</a:t>
          </a:r>
        </a:p>
      </dsp:txBody>
      <dsp:txXfrm>
        <a:off x="4036410" y="280407"/>
        <a:ext cx="1113587" cy="3167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vertAlign" val="mid"/>
      <dgm:param type="horzAlign" val="ctr"/>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1114</Words>
  <Characters>6355</Characters>
  <Lines>52</Lines>
  <Paragraphs>14</Paragraphs>
  <TotalTime>21</TotalTime>
  <ScaleCrop>false</ScaleCrop>
  <LinksUpToDate>false</LinksUpToDate>
  <CharactersWithSpaces>7455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2022-06-16T02:51:00Z</dcterms:created>
  <dc:creator>Administrator</dc:creator>
  <cp:lastModifiedBy>kings丶viking</cp:lastModifiedBy>
  <dcterms:modified xsi:type="dcterms:W3CDTF">2022-06-16T06:50:25Z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