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19" w:lineRule="atLeast"/>
        <w:jc w:val="center"/>
        <w:rPr>
          <w:rFonts w:cs="方正小标宋_GBK" w:asciiTheme="minorEastAsia" w:hAnsiTheme="minorEastAsia"/>
          <w:b/>
          <w:bCs/>
          <w:color w:val="3D3D3D"/>
          <w:kern w:val="0"/>
          <w:sz w:val="44"/>
          <w:szCs w:val="44"/>
        </w:rPr>
      </w:pPr>
      <w:r>
        <w:rPr>
          <w:rFonts w:hint="eastAsia" w:cs="方正小标宋_GBK" w:asciiTheme="minorEastAsia" w:hAnsiTheme="minorEastAsia"/>
          <w:b/>
          <w:bCs/>
          <w:color w:val="3D3D3D"/>
          <w:kern w:val="0"/>
          <w:sz w:val="44"/>
          <w:szCs w:val="44"/>
        </w:rPr>
        <w:t>四川护理职业学院</w:t>
      </w:r>
    </w:p>
    <w:p>
      <w:pPr>
        <w:widowControl/>
        <w:wordWrap w:val="0"/>
        <w:spacing w:line="19" w:lineRule="atLeast"/>
        <w:jc w:val="center"/>
        <w:rPr>
          <w:rFonts w:hint="eastAsia" w:cs="方正小标宋_GBK" w:asciiTheme="minorEastAsia" w:hAnsiTheme="minorEastAsia" w:eastAsiaTheme="minorEastAsia"/>
          <w:b/>
          <w:bCs/>
          <w:color w:val="3D3D3D"/>
          <w:kern w:val="0"/>
          <w:sz w:val="44"/>
          <w:szCs w:val="44"/>
          <w:lang w:val="en-US" w:eastAsia="zh-CN"/>
        </w:rPr>
      </w:pPr>
      <w:r>
        <w:rPr>
          <w:rFonts w:hint="eastAsia" w:cs="宋体" w:asciiTheme="minorEastAsia" w:hAnsiTheme="minorEastAsia"/>
          <w:b/>
          <w:bCs/>
          <w:color w:val="3D3D3D"/>
          <w:kern w:val="0"/>
          <w:sz w:val="44"/>
          <w:szCs w:val="44"/>
        </w:rPr>
        <w:t>德阳校区电梯维护保养服务</w:t>
      </w:r>
      <w:r>
        <w:rPr>
          <w:rFonts w:hint="eastAsia" w:cs="方正小标宋_GBK" w:asciiTheme="minorEastAsia" w:hAnsiTheme="minorEastAsia"/>
          <w:b/>
          <w:bCs/>
          <w:color w:val="3D3D3D"/>
          <w:kern w:val="0"/>
          <w:sz w:val="44"/>
          <w:szCs w:val="44"/>
        </w:rPr>
        <w:t>采购</w:t>
      </w:r>
      <w:r>
        <w:rPr>
          <w:rFonts w:hint="eastAsia" w:cs="方正小标宋_GBK" w:asciiTheme="minorEastAsia" w:hAnsiTheme="minorEastAsia"/>
          <w:b/>
          <w:bCs/>
          <w:color w:val="3D3D3D"/>
          <w:kern w:val="0"/>
          <w:sz w:val="44"/>
          <w:szCs w:val="44"/>
          <w:lang w:val="en-US" w:eastAsia="zh-CN"/>
        </w:rPr>
        <w:t>需求</w:t>
      </w:r>
    </w:p>
    <w:p>
      <w:pPr>
        <w:spacing w:line="264" w:lineRule="auto"/>
        <w:rPr>
          <w:rFonts w:ascii="仿宋_GB2312" w:hAnsi="仿宋_GB2312" w:eastAsia="仿宋_GB2312" w:cs="仿宋_GB2312"/>
          <w:sz w:val="28"/>
          <w:szCs w:val="28"/>
        </w:rPr>
      </w:pPr>
    </w:p>
    <w:p>
      <w:pPr>
        <w:spacing w:line="264"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四川护理职业学院德阳校区电梯维护保养服务采购项目,欢迎符合资质条件的供应商前来参与。本次德阳校区电梯维护保养采购项目最高限价4.5</w:t>
      </w:r>
      <w:r>
        <w:rPr>
          <w:rFonts w:hint="eastAsia" w:ascii="宋体" w:hAnsi="宋体" w:eastAsia="宋体" w:cs="宋体"/>
          <w:sz w:val="28"/>
          <w:szCs w:val="28"/>
        </w:rPr>
        <w:t>万</w:t>
      </w:r>
      <w:r>
        <w:rPr>
          <w:rFonts w:hint="eastAsia" w:ascii="仿宋_GB2312" w:hAnsi="仿宋_GB2312" w:eastAsia="仿宋_GB2312" w:cs="仿宋_GB2312"/>
          <w:sz w:val="28"/>
          <w:szCs w:val="28"/>
        </w:rPr>
        <w:t>元，报价超过预算无效。</w:t>
      </w:r>
    </w:p>
    <w:p>
      <w:pPr>
        <w:spacing w:line="264" w:lineRule="auto"/>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一、项目基本情况：</w:t>
      </w:r>
    </w:p>
    <w:p>
      <w:pPr>
        <w:spacing w:line="264" w:lineRule="auto"/>
        <w:ind w:firstLine="560" w:firstLineChars="200"/>
        <w:rPr>
          <w:rFonts w:ascii="仿宋_GB2312" w:hAnsi="仿宋_GB2312" w:eastAsia="仿宋_GB2312" w:cs="仿宋_GB2312"/>
          <w:sz w:val="28"/>
          <w:szCs w:val="28"/>
        </w:rPr>
      </w:pPr>
      <w:r>
        <w:rPr>
          <w:rFonts w:hint="eastAsia" w:ascii="仿宋" w:hAnsi="仿宋" w:eastAsia="仿宋" w:cs="仿宋_GB2312"/>
          <w:sz w:val="28"/>
          <w:szCs w:val="28"/>
        </w:rPr>
        <w:t>本项目为四川护理职业学院德阳校区（德阳市一环路东一段1</w:t>
      </w:r>
      <w:r>
        <w:rPr>
          <w:rFonts w:ascii="仿宋" w:hAnsi="仿宋" w:eastAsia="仿宋" w:cs="仿宋_GB2312"/>
          <w:sz w:val="28"/>
          <w:szCs w:val="28"/>
        </w:rPr>
        <w:t>99号</w:t>
      </w:r>
      <w:r>
        <w:rPr>
          <w:rFonts w:hint="eastAsia" w:ascii="仿宋" w:hAnsi="仿宋" w:eastAsia="仿宋" w:cs="仿宋_GB2312"/>
          <w:sz w:val="28"/>
          <w:szCs w:val="28"/>
        </w:rPr>
        <w:t>）电梯维护保养服务采购。</w:t>
      </w:r>
      <w:r>
        <w:rPr>
          <w:rFonts w:hint="eastAsia" w:ascii="仿宋_GB2312" w:hAnsi="仿宋_GB2312" w:eastAsia="仿宋_GB2312" w:cs="仿宋_GB2312"/>
          <w:sz w:val="28"/>
          <w:szCs w:val="28"/>
        </w:rPr>
        <w:t xml:space="preserve">  </w:t>
      </w:r>
    </w:p>
    <w:p>
      <w:pPr>
        <w:spacing w:line="264"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二、项目名称:四川护理职业学院德阳校区电梯维护保养服务采购项目</w:t>
      </w:r>
    </w:p>
    <w:p>
      <w:pPr>
        <w:spacing w:line="264" w:lineRule="auto"/>
        <w:rPr>
          <w:rFonts w:ascii="仿宋" w:hAnsi="仿宋" w:eastAsia="仿宋" w:cs="仿宋_GB2312"/>
          <w:sz w:val="28"/>
          <w:szCs w:val="28"/>
        </w:rPr>
      </w:pPr>
      <w:r>
        <w:rPr>
          <w:rFonts w:hint="eastAsia" w:ascii="仿宋_GB2312" w:hAnsi="仿宋_GB2312" w:eastAsia="仿宋_GB2312" w:cs="仿宋_GB2312"/>
          <w:sz w:val="28"/>
          <w:szCs w:val="28"/>
        </w:rPr>
        <w:t xml:space="preserve">     三、预算金额（元）</w:t>
      </w:r>
      <w:r>
        <w:rPr>
          <w:rFonts w:hint="eastAsia" w:ascii="仿宋" w:hAnsi="仿宋" w:eastAsia="仿宋" w:cs="仿宋_GB2312"/>
          <w:sz w:val="28"/>
          <w:szCs w:val="28"/>
        </w:rPr>
        <w:t>:人民</w:t>
      </w:r>
      <w:r>
        <w:rPr>
          <w:rFonts w:hint="eastAsia" w:ascii="仿宋" w:hAnsi="仿宋" w:eastAsia="仿宋" w:cs="宋体"/>
          <w:sz w:val="28"/>
          <w:szCs w:val="28"/>
        </w:rPr>
        <w:t>币</w:t>
      </w:r>
      <w:r>
        <w:rPr>
          <w:rFonts w:hint="eastAsia" w:ascii="仿宋" w:hAnsi="仿宋" w:eastAsia="仿宋" w:cs="仿宋_GB2312"/>
          <w:sz w:val="28"/>
          <w:szCs w:val="28"/>
        </w:rPr>
        <w:t>4.5万元</w:t>
      </w:r>
    </w:p>
    <w:p>
      <w:pPr>
        <w:spacing w:line="264"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四、采购部门:学院后勤管理处</w:t>
      </w:r>
    </w:p>
    <w:p>
      <w:pPr>
        <w:widowControl/>
        <w:adjustRightInd w:val="0"/>
        <w:snapToGrid w:val="0"/>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五、采购需求:</w:t>
      </w:r>
    </w:p>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按《中华人民共和国特种设备安全法》、电梯维护保养规则TSGT5002-2017、《四川省电梯安全监督管理办法》要求对四川护理职业学院德阳校区九台曳引驱动乘客电梯提供电梯维护保养服务。具体如下：</w:t>
      </w:r>
    </w:p>
    <w:tbl>
      <w:tblPr>
        <w:tblStyle w:val="4"/>
        <w:tblW w:w="8378" w:type="dxa"/>
        <w:tblInd w:w="-1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76"/>
        <w:gridCol w:w="2490"/>
        <w:gridCol w:w="3255"/>
        <w:gridCol w:w="13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76" w:type="dxa"/>
            <w:tcBorders>
              <w:top w:val="single" w:color="auto" w:sz="8" w:space="0"/>
              <w:left w:val="single" w:color="auto" w:sz="8" w:space="0"/>
              <w:bottom w:val="single" w:color="auto" w:sz="8" w:space="0"/>
              <w:right w:val="single" w:color="auto" w:sz="8"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序号</w:t>
            </w:r>
          </w:p>
        </w:tc>
        <w:tc>
          <w:tcPr>
            <w:tcW w:w="2490"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电梯层/站/门</w:t>
            </w:r>
          </w:p>
        </w:tc>
        <w:tc>
          <w:tcPr>
            <w:tcW w:w="3255"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电梯品牌型号</w:t>
            </w:r>
          </w:p>
        </w:tc>
        <w:tc>
          <w:tcPr>
            <w:tcW w:w="1357"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台数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76"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p>
        </w:tc>
        <w:tc>
          <w:tcPr>
            <w:tcW w:w="2490"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5/5</w:t>
            </w:r>
          </w:p>
        </w:tc>
        <w:tc>
          <w:tcPr>
            <w:tcW w:w="3255"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港日FVF-N</w:t>
            </w:r>
          </w:p>
        </w:tc>
        <w:tc>
          <w:tcPr>
            <w:tcW w:w="1357"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8" w:hRule="atLeast"/>
        </w:trPr>
        <w:tc>
          <w:tcPr>
            <w:tcW w:w="1276"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2</w:t>
            </w:r>
          </w:p>
        </w:tc>
        <w:tc>
          <w:tcPr>
            <w:tcW w:w="2490"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3/3</w:t>
            </w:r>
          </w:p>
        </w:tc>
        <w:tc>
          <w:tcPr>
            <w:tcW w:w="3255"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港日FVF-N</w:t>
            </w:r>
          </w:p>
        </w:tc>
        <w:tc>
          <w:tcPr>
            <w:tcW w:w="1357"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8" w:hRule="atLeast"/>
        </w:trPr>
        <w:tc>
          <w:tcPr>
            <w:tcW w:w="1276"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3</w:t>
            </w:r>
          </w:p>
        </w:tc>
        <w:tc>
          <w:tcPr>
            <w:tcW w:w="2490"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5/5</w:t>
            </w:r>
          </w:p>
        </w:tc>
        <w:tc>
          <w:tcPr>
            <w:tcW w:w="3255"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通力KONE MiniSpace</w:t>
            </w:r>
          </w:p>
        </w:tc>
        <w:tc>
          <w:tcPr>
            <w:tcW w:w="1357"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8" w:hRule="atLeast"/>
        </w:trPr>
        <w:tc>
          <w:tcPr>
            <w:tcW w:w="1276"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4</w:t>
            </w:r>
          </w:p>
        </w:tc>
        <w:tc>
          <w:tcPr>
            <w:tcW w:w="2490"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5/5</w:t>
            </w:r>
          </w:p>
        </w:tc>
        <w:tc>
          <w:tcPr>
            <w:tcW w:w="3255"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日立HGE</w:t>
            </w:r>
          </w:p>
        </w:tc>
        <w:tc>
          <w:tcPr>
            <w:tcW w:w="1357"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8" w:hRule="atLeast"/>
        </w:trPr>
        <w:tc>
          <w:tcPr>
            <w:tcW w:w="1276"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5</w:t>
            </w:r>
          </w:p>
        </w:tc>
        <w:tc>
          <w:tcPr>
            <w:tcW w:w="2490"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5/5</w:t>
            </w:r>
          </w:p>
        </w:tc>
        <w:tc>
          <w:tcPr>
            <w:tcW w:w="3255"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日立LCA</w:t>
            </w:r>
          </w:p>
        </w:tc>
        <w:tc>
          <w:tcPr>
            <w:tcW w:w="1357" w:type="dxa"/>
            <w:tcBorders>
              <w:top w:val="outset" w:color="auto" w:sz="6" w:space="0"/>
              <w:left w:val="outset" w:color="auto" w:sz="6" w:space="0"/>
              <w:bottom w:val="outset" w:color="auto" w:sz="6" w:space="0"/>
              <w:right w:val="outset" w:color="auto" w:sz="6" w:space="0"/>
            </w:tcBorders>
            <w:vAlign w:val="center"/>
          </w:tcPr>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2</w:t>
            </w:r>
          </w:p>
        </w:tc>
      </w:tr>
    </w:tbl>
    <w:p>
      <w:pPr>
        <w:spacing w:line="264" w:lineRule="auto"/>
        <w:rPr>
          <w:rFonts w:ascii="仿宋_GB2312" w:hAnsi="仿宋_GB2312" w:eastAsia="仿宋_GB2312" w:cs="仿宋_GB2312"/>
          <w:sz w:val="28"/>
          <w:szCs w:val="28"/>
        </w:rPr>
      </w:pPr>
    </w:p>
    <w:p>
      <w:pPr>
        <w:spacing w:line="264"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六、项目服务期限:</w:t>
      </w:r>
      <w:r>
        <w:rPr>
          <w:rFonts w:hint="eastAsia" w:ascii="仿宋" w:hAnsi="仿宋" w:eastAsia="仿宋"/>
          <w:sz w:val="32"/>
          <w:szCs w:val="32"/>
        </w:rPr>
        <w:t>自202</w:t>
      </w:r>
      <w:r>
        <w:rPr>
          <w:rFonts w:hint="eastAsia" w:ascii="仿宋" w:hAnsi="仿宋" w:eastAsia="仿宋"/>
          <w:sz w:val="32"/>
          <w:szCs w:val="32"/>
          <w:lang w:val="en-US" w:eastAsia="zh-CN"/>
        </w:rPr>
        <w:t>3</w:t>
      </w:r>
      <w:r>
        <w:rPr>
          <w:rFonts w:hint="eastAsia" w:ascii="仿宋" w:hAnsi="仿宋" w:eastAsia="仿宋"/>
          <w:sz w:val="32"/>
          <w:szCs w:val="32"/>
        </w:rPr>
        <w:t>年12月 16 日至202</w:t>
      </w:r>
      <w:r>
        <w:rPr>
          <w:rFonts w:hint="eastAsia" w:ascii="仿宋" w:hAnsi="仿宋" w:eastAsia="仿宋"/>
          <w:sz w:val="32"/>
          <w:szCs w:val="32"/>
          <w:lang w:val="en-US" w:eastAsia="zh-CN"/>
        </w:rPr>
        <w:t>4</w:t>
      </w:r>
      <w:r>
        <w:rPr>
          <w:rFonts w:hint="eastAsia" w:ascii="仿宋" w:hAnsi="仿宋" w:eastAsia="仿宋"/>
          <w:sz w:val="32"/>
          <w:szCs w:val="32"/>
        </w:rPr>
        <w:t>年12月15日</w:t>
      </w:r>
      <w:r>
        <w:rPr>
          <w:rFonts w:hint="eastAsia" w:ascii="仿宋_GB2312" w:hAnsi="仿宋_GB2312" w:eastAsia="仿宋_GB2312" w:cs="仿宋_GB2312"/>
          <w:sz w:val="28"/>
          <w:szCs w:val="28"/>
        </w:rPr>
        <w:t xml:space="preserve">  </w:t>
      </w:r>
    </w:p>
    <w:p>
      <w:pPr>
        <w:spacing w:line="264"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七、供应商的资格要求及需提供的资料:</w:t>
      </w:r>
      <w:r>
        <w:rPr>
          <w:rFonts w:hint="eastAsia" w:ascii="仿宋_GB2312" w:hAnsi="仿宋_GB2312" w:eastAsia="仿宋_GB2312" w:cs="仿宋_GB2312"/>
          <w:sz w:val="28"/>
          <w:szCs w:val="28"/>
        </w:rPr>
        <w:tab/>
      </w:r>
    </w:p>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（一）具备独立法人资格，有效期内营业执照，经营范围须包含乘客安装、维修、改造、维护、保养（凭有效许可证开展经营活动）。</w:t>
      </w:r>
    </w:p>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（二）具备中华人民共和国特种设备安装改造维修许可证，施工类别安装、维修B级以上。</w:t>
      </w:r>
    </w:p>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（三）具有履行合同所必需的设备和专业技术能力。</w:t>
      </w:r>
    </w:p>
    <w:p>
      <w:pPr>
        <w:spacing w:line="264"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（四）本次招标不接受联合体、自然人投标。</w:t>
      </w:r>
    </w:p>
    <w:p>
      <w:pPr>
        <w:spacing w:line="480" w:lineRule="atLeast"/>
        <w:ind w:firstLine="560" w:firstLineChars="200"/>
        <w:rPr>
          <w:rFonts w:ascii="仿宋" w:hAnsi="仿宋" w:eastAsia="仿宋"/>
          <w:sz w:val="28"/>
          <w:szCs w:val="28"/>
        </w:rPr>
      </w:pPr>
      <w:r>
        <w:rPr>
          <w:rFonts w:hint="eastAsia" w:ascii="仿宋_GB2312" w:hAnsi="仿宋_GB2312" w:eastAsia="仿宋_GB2312" w:cs="仿宋_GB2312"/>
          <w:sz w:val="28"/>
          <w:szCs w:val="28"/>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ZThkMWVhYzZiYWU4YWVlMGE0OWRlMmIxNDUyODQifQ=="/>
  </w:docVars>
  <w:rsids>
    <w:rsidRoot w:val="7D2A1332"/>
    <w:rsid w:val="220F1592"/>
    <w:rsid w:val="29390B20"/>
    <w:rsid w:val="2BC16647"/>
    <w:rsid w:val="2D810655"/>
    <w:rsid w:val="7D2A1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44"/>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932</Words>
  <Characters>1026</Characters>
  <Lines>0</Lines>
  <Paragraphs>0</Paragraphs>
  <TotalTime>8</TotalTime>
  <ScaleCrop>false</ScaleCrop>
  <LinksUpToDate>false</LinksUpToDate>
  <CharactersWithSpaces>1058</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2022-11-03T02:27:00Z</dcterms:created>
  <dc:creator>一介布衣</dc:creator>
  <cp:lastModifiedBy>刘从洋</cp:lastModifiedBy>
  <dcterms:modified xsi:type="dcterms:W3CDTF">2023-11-13T08:50:32Z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6E89882488DA451894B79E6B4C309FBD</vt:lpwstr>
  </property>
</Properties>
</file>