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t>插入项</w:t>
      </w:r>
    </w:p>
    <w:tbl>
      <w:tblPr>
        <w:tblW w:w="0" w:type="auto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18"/>
        <w:gridCol w:w="4419"/>
        <w:gridCol w:w="1262"/>
        <w:gridCol w:w="913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清洗点位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清洗内容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清洗频次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民警职工食堂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烟罩1350*600约16米、烟罩平行风管600*600约16米、1000*800抽风管约25米、抽风机30寸1台、油烟净化器1台；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1次/季度，一年4次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武警食堂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烟罩1300*600约14米、烟罩平行风管600*600约14米、抽风管800*600约20米、抽风柜1台、抽烟净化器1台；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1次/季度，一年4次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配餐中心</w:t>
            </w:r>
          </w:p>
        </w:tc>
        <w:tc>
          <w:tcPr>
            <w:tcW w:w="4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烟罩1350*600约65米、烟罩平行风管600*600约65米、抽风管800*800约80米、抽风柜5台、低空油烟净化器5台。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1次/季度，一年4次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bdr w:val="none" w:color="auto" w:sz="0" w:space="0"/>
                <w:lang w:val="en-US" w:eastAsia="zh-CN" w:bidi="ar"/>
              </w:rPr>
              <w:t>合计总价</w:t>
            </w:r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（价格包含所供材料的运输、税费、人</w:t>
            </w:r>
            <w:bookmarkStart w:id="0" w:name="_GoBack"/>
            <w:bookmarkEnd w:id="0"/>
            <w:r>
              <w:rPr>
                <w:rStyle w:val="5"/>
                <w:sz w:val="21"/>
                <w:szCs w:val="21"/>
                <w:bdr w:val="none" w:color="auto" w:sz="0" w:space="0"/>
                <w:lang w:val="en-US" w:eastAsia="zh-CN" w:bidi="ar"/>
              </w:rPr>
              <w:t>工等一起费用）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1.服务商应具备国家油烟管道清洗服务企业资质（甲级或国家一级）证书、有限空间作业服务企业资质证书、高空作业服务企业资质证书。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2、上传报价单（加盖公章）、营业执照及三项资质证书，证书不齐全视为无效报价，报价作废。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3.服务商应按照行业规范的清洗方式进行清洗，应采用安全的制剂进行清洗，禁止使用酒精、汽油等易燃易溶剂和高腐蚀性容积溶剂，不得损坏抽油烟机，破坏抽油烟机的设备、网罩、线路等。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4.清洗作业时按标准采取安全防护措施，施工过程中发生的一切安全事故由服务商负责，与采购人无关。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5.清洗完成后，服务商应接受采购人验收，验收合格后按合同支付服务费。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6.服务商应严格遵守采购人保密规定。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EA7C07"/>
    <w:rsid w:val="9EEA7C07"/>
    <w:rsid w:val="FD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2024-03-18T11:07:00Z</dcterms:created>
  <dc:creator>lenovo</dc:creator>
  <cp:lastModifiedBy>lenovo</cp:lastModifiedBy>
  <dcterms:modified xsi:type="dcterms:W3CDTF">2024-03-18T11:16:12Z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EEEC6B96D5CD32BDD6AFF765CA6B5DBE</vt:lpwstr>
  </property>
</Properties>
</file>