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四川护理职业学院2024年成都校区培训教室及用房</w:t>
      </w:r>
    </w:p>
    <w:p>
      <w:pPr>
        <w:ind w:firstLine="1920" w:firstLineChars="6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室内环境</w:t>
      </w:r>
      <w:r>
        <w:rPr>
          <w:rFonts w:hint="eastAsia" w:ascii="仿宋_GB2312" w:hAnsi="仿宋_GB2312" w:eastAsia="仿宋_GB2312" w:cs="仿宋_GB2312"/>
          <w:sz w:val="32"/>
          <w:szCs w:val="32"/>
          <w:lang w:val="en-US" w:eastAsia="zh-CN"/>
        </w:rPr>
        <w:t>检测</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采购项目</w:t>
      </w:r>
    </w:p>
    <w:p>
      <w:pPr>
        <w:numPr>
          <w:ilvl w:val="0"/>
          <w:numId w:val="0"/>
        </w:numPr>
        <w:ind w:left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项目预算控制价：1.1万元</w:t>
      </w:r>
      <w:bookmarkStart w:id="0" w:name="_GoBack"/>
      <w:bookmarkEnd w:id="0"/>
    </w:p>
    <w:p>
      <w:pPr>
        <w:numPr>
          <w:ilvl w:val="0"/>
          <w:numId w:val="0"/>
        </w:numPr>
        <w:ind w:left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一、服务内容</w:t>
      </w:r>
    </w:p>
    <w:tbl>
      <w:tblPr>
        <w:tblStyle w:val="3"/>
        <w:tblW w:w="771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065"/>
        <w:gridCol w:w="2185"/>
        <w:gridCol w:w="198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106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服务项目</w:t>
            </w:r>
          </w:p>
        </w:tc>
        <w:tc>
          <w:tcPr>
            <w:tcW w:w="218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服务内容</w:t>
            </w:r>
          </w:p>
        </w:tc>
        <w:tc>
          <w:tcPr>
            <w:tcW w:w="1980"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面积</w:t>
            </w:r>
          </w:p>
        </w:tc>
        <w:tc>
          <w:tcPr>
            <w:tcW w:w="121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培训教室</w:t>
            </w:r>
          </w:p>
        </w:tc>
        <w:tc>
          <w:tcPr>
            <w:tcW w:w="218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随机抽取检测点位1个</w:t>
            </w:r>
          </w:p>
        </w:tc>
        <w:tc>
          <w:tcPr>
            <w:tcW w:w="1980"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约425平米</w:t>
            </w:r>
          </w:p>
        </w:tc>
        <w:tc>
          <w:tcPr>
            <w:tcW w:w="1215"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0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培训用房</w:t>
            </w:r>
          </w:p>
        </w:tc>
        <w:tc>
          <w:tcPr>
            <w:tcW w:w="2185" w:type="dxa"/>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每层随机抽取检测点位不超过3个，一共6层</w:t>
            </w:r>
          </w:p>
        </w:tc>
        <w:tc>
          <w:tcPr>
            <w:tcW w:w="1980" w:type="dxa"/>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约2015平米</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(65个房间，每个房间面积约31平米，包含过道）</w:t>
            </w:r>
          </w:p>
        </w:tc>
        <w:tc>
          <w:tcPr>
            <w:tcW w:w="1215"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合计：</w:t>
            </w:r>
          </w:p>
        </w:tc>
        <w:tc>
          <w:tcPr>
            <w:tcW w:w="1065" w:type="dxa"/>
          </w:tcPr>
          <w:p>
            <w:pPr>
              <w:jc w:val="center"/>
              <w:rPr>
                <w:rFonts w:hint="eastAsia" w:ascii="仿宋_GB2312" w:hAnsi="仿宋_GB2312" w:eastAsia="仿宋_GB2312" w:cs="仿宋_GB2312"/>
                <w:sz w:val="21"/>
                <w:szCs w:val="21"/>
                <w:vertAlign w:val="baseline"/>
                <w:lang w:val="en-US" w:eastAsia="zh-CN"/>
              </w:rPr>
            </w:pPr>
          </w:p>
        </w:tc>
        <w:tc>
          <w:tcPr>
            <w:tcW w:w="2185" w:type="dxa"/>
            <w:vAlign w:val="top"/>
          </w:tcPr>
          <w:p>
            <w:pPr>
              <w:jc w:val="center"/>
              <w:rPr>
                <w:rFonts w:hint="eastAsia" w:ascii="仿宋_GB2312" w:hAnsi="仿宋_GB2312" w:eastAsia="仿宋_GB2312" w:cs="仿宋_GB2312"/>
                <w:sz w:val="21"/>
                <w:szCs w:val="21"/>
                <w:vertAlign w:val="baseline"/>
                <w:lang w:val="en-US" w:eastAsia="zh-CN"/>
              </w:rPr>
            </w:pPr>
          </w:p>
        </w:tc>
        <w:tc>
          <w:tcPr>
            <w:tcW w:w="1980" w:type="dxa"/>
          </w:tcPr>
          <w:p>
            <w:pPr>
              <w:jc w:val="center"/>
              <w:rPr>
                <w:rFonts w:hint="eastAsia" w:ascii="仿宋_GB2312" w:hAnsi="仿宋_GB2312" w:eastAsia="仿宋_GB2312" w:cs="仿宋_GB2312"/>
                <w:sz w:val="21"/>
                <w:szCs w:val="21"/>
                <w:vertAlign w:val="baseline"/>
                <w:lang w:val="en-US" w:eastAsia="zh-CN"/>
              </w:rPr>
            </w:pPr>
          </w:p>
        </w:tc>
        <w:tc>
          <w:tcPr>
            <w:tcW w:w="1215" w:type="dxa"/>
          </w:tcPr>
          <w:p>
            <w:pPr>
              <w:jc w:val="center"/>
              <w:rPr>
                <w:rFonts w:hint="eastAsia" w:ascii="仿宋_GB2312" w:hAnsi="仿宋_GB2312" w:eastAsia="仿宋_GB2312" w:cs="仿宋_GB2312"/>
                <w:sz w:val="21"/>
                <w:szCs w:val="21"/>
                <w:vertAlign w:val="baseline"/>
              </w:rPr>
            </w:pPr>
          </w:p>
        </w:tc>
      </w:tr>
    </w:tbl>
    <w:p>
      <w:pPr>
        <w:ind w:left="420" w:leftChars="200"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备注：本报价为包干价，报价中包含</w:t>
      </w:r>
      <w:r>
        <w:rPr>
          <w:rFonts w:hint="eastAsia" w:ascii="仿宋_GB2312" w:hAnsi="仿宋_GB2312" w:eastAsia="仿宋_GB2312" w:cs="仿宋_GB2312"/>
          <w:sz w:val="21"/>
          <w:szCs w:val="21"/>
          <w:lang w:val="en-US" w:eastAsia="zh-CN"/>
        </w:rPr>
        <w:t>室内环境检测产生的</w:t>
      </w:r>
      <w:r>
        <w:rPr>
          <w:rFonts w:hint="eastAsia" w:ascii="仿宋_GB2312" w:hAnsi="仿宋_GB2312" w:eastAsia="仿宋_GB2312" w:cs="仿宋_GB2312"/>
          <w:sz w:val="21"/>
          <w:szCs w:val="21"/>
        </w:rPr>
        <w:t>全部费用。</w:t>
      </w:r>
    </w:p>
    <w:p>
      <w:pPr>
        <w:numPr>
          <w:ilvl w:val="0"/>
          <w:numId w:val="1"/>
        </w:numPr>
        <w:ind w:left="420" w:leftChars="200"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服务要求：</w:t>
      </w:r>
    </w:p>
    <w:p>
      <w:pPr>
        <w:numPr>
          <w:ilvl w:val="0"/>
          <w:numId w:val="0"/>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1.具有出具CMA检测报告的检测服务机构，报价提供资质复印件并加盖鲜章。</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2室内环境检测时间根据甲方实际需求时间完成，接甲方进场通知后3个日历天内完成检测服务，具体时间以甲方电话通知为准。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3采购人</w:t>
      </w:r>
      <w:r>
        <w:rPr>
          <w:rFonts w:hint="eastAsia" w:ascii="仿宋_GB2312" w:hAnsi="仿宋_GB2312" w:eastAsia="仿宋_GB2312" w:cs="仿宋_GB2312"/>
          <w:sz w:val="28"/>
          <w:szCs w:val="28"/>
        </w:rPr>
        <w:t>对完成的房间室内环境净化进行随机抽取点位检测，培训教室随机抽取检测点位1个，每间教室1个点位；培训住宿用房每层随机抽取检测点位不超过3个，一共6层。</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房间室内环境</w:t>
      </w:r>
      <w:r>
        <w:rPr>
          <w:rFonts w:hint="eastAsia" w:ascii="仿宋_GB2312" w:hAnsi="仿宋_GB2312" w:eastAsia="仿宋_GB2312" w:cs="仿宋_GB2312"/>
          <w:sz w:val="28"/>
          <w:szCs w:val="28"/>
          <w:lang w:val="en-US" w:eastAsia="zh-CN"/>
        </w:rPr>
        <w:t>检测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出具《室内空气质量检测报告》，报告内</w:t>
      </w:r>
      <w:r>
        <w:rPr>
          <w:rFonts w:hint="eastAsia" w:ascii="仿宋_GB2312" w:hAnsi="仿宋_GB2312" w:eastAsia="仿宋_GB2312" w:cs="仿宋_GB2312"/>
          <w:sz w:val="28"/>
          <w:szCs w:val="28"/>
          <w:lang w:val="en-US" w:eastAsia="zh-CN"/>
        </w:rPr>
        <w:t>包含不限于</w:t>
      </w:r>
      <w:r>
        <w:rPr>
          <w:rFonts w:hint="eastAsia" w:ascii="仿宋_GB2312" w:hAnsi="仿宋_GB2312" w:eastAsia="仿宋_GB2312" w:cs="仿宋_GB2312"/>
          <w:sz w:val="28"/>
          <w:szCs w:val="28"/>
        </w:rPr>
        <w:t>国家《民用建筑工程室内环境污染控制规范》GB50325-2022中贰类建筑物中对甲醛、苯、TVOC污染物限量</w:t>
      </w:r>
      <w:r>
        <w:rPr>
          <w:rFonts w:hint="eastAsia" w:ascii="仿宋_GB2312" w:hAnsi="仿宋_GB2312" w:eastAsia="仿宋_GB2312" w:cs="仿宋_GB2312"/>
          <w:sz w:val="28"/>
          <w:szCs w:val="28"/>
          <w:lang w:val="en-US" w:eastAsia="zh-CN"/>
        </w:rPr>
        <w:t>值的检测值和标准值</w:t>
      </w:r>
      <w:r>
        <w:rPr>
          <w:rFonts w:hint="eastAsia" w:ascii="仿宋_GB2312" w:hAnsi="仿宋_GB2312" w:eastAsia="仿宋_GB2312" w:cs="仿宋_GB2312"/>
          <w:sz w:val="28"/>
          <w:szCs w:val="28"/>
        </w:rPr>
        <w:t>。</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5.付款方式及时间：室内环境检测完毕并出具具有CMA室内空气合格检测报告，通过采购人验收合格，收到成交供应商出具的正式发票后在财政性资金正常下达情况下采购人30 日内支付货款。</w:t>
      </w:r>
    </w:p>
    <w:p>
      <w:pPr>
        <w:numPr>
          <w:ilvl w:val="0"/>
          <w:numId w:val="0"/>
        </w:numPr>
        <w:rPr>
          <w:rFonts w:hint="default" w:ascii="仿宋_GB2312" w:hAnsi="仿宋_GB2312" w:eastAsia="仿宋_GB2312" w:cs="仿宋_GB2312"/>
          <w:sz w:val="28"/>
          <w:szCs w:val="28"/>
          <w:lang w:val="en-US" w:eastAsia="zh-CN"/>
        </w:rPr>
      </w:pPr>
    </w:p>
    <w:p>
      <w:pPr>
        <w:numPr>
          <w:ilvl w:val="0"/>
          <w:numId w:val="0"/>
        </w:numPr>
        <w:rPr>
          <w:rFonts w:hint="eastAsia" w:ascii="仿宋_GB2312" w:hAnsi="仿宋_GB2312" w:eastAsia="仿宋_GB2312" w:cs="仿宋_GB2312"/>
          <w:sz w:val="28"/>
          <w:szCs w:val="28"/>
        </w:rPr>
      </w:pP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3AF15"/>
    <w:multiLevelType w:val="singleLevel"/>
    <w:tmpl w:val="C003A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Tk5YTMyYTJkMjIxMDhlOGFjNjRiN2IwYmJiMzUifQ=="/>
    <w:docVar w:name="KSO_WPS_MARK_KEY" w:val="98453c6c-89f7-4a29-bd5c-c85c034e7ed4"/>
  </w:docVars>
  <w:rsids>
    <w:rsidRoot w:val="00000000"/>
    <w:rsid w:val="025D641A"/>
    <w:rsid w:val="0E8A3197"/>
    <w:rsid w:val="129D7127"/>
    <w:rsid w:val="18E9191A"/>
    <w:rsid w:val="21B93084"/>
    <w:rsid w:val="23566F63"/>
    <w:rsid w:val="24405FCC"/>
    <w:rsid w:val="279D40B8"/>
    <w:rsid w:val="395C1CDE"/>
    <w:rsid w:val="3B5E27AF"/>
    <w:rsid w:val="42DF1133"/>
    <w:rsid w:val="45D60A2D"/>
    <w:rsid w:val="4B627988"/>
    <w:rsid w:val="4BA055EE"/>
    <w:rsid w:val="54E257BE"/>
    <w:rsid w:val="55AA557F"/>
    <w:rsid w:val="599124C8"/>
    <w:rsid w:val="5C1923FA"/>
    <w:rsid w:val="5C325157"/>
    <w:rsid w:val="5C583E75"/>
    <w:rsid w:val="615E4629"/>
    <w:rsid w:val="68C342D4"/>
    <w:rsid w:val="69732A0A"/>
    <w:rsid w:val="6A2B0D56"/>
    <w:rsid w:val="6E5C19CB"/>
    <w:rsid w:val="6F202742"/>
    <w:rsid w:val="7A911CEA"/>
    <w:rsid w:val="7C045F98"/>
    <w:rsid w:val="7EEB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2024-04-17T08:00:00Z</dcterms:created>
  <dc:creator>Administrator</dc:creator>
  <cp:lastModifiedBy>卢阳</cp:lastModifiedBy>
  <cp:lastPrinted>2024-05-10T02:57:00Z</cp:lastPrinted>
  <dcterms:modified xsi:type="dcterms:W3CDTF">2024-05-16T08:10:32Z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5860B4F4B7BA488B9CEFA1EC1818EDCF_13</vt:lpwstr>
  </property>
</Properties>
</file>