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firstLine="2811" w:firstLineChars="1000"/>
        <w:jc w:val="both"/>
        <w:textAlignment w:val="auto"/>
        <w:rPr>
          <w:rFonts w:hint="default" w:eastAsia="宋体" w:cs="Times New Roman"/>
          <w:b/>
          <w:bCs/>
          <w:iCs/>
          <w:color w:val="auto"/>
          <w:kern w:val="0"/>
          <w:sz w:val="28"/>
          <w:szCs w:val="28"/>
          <w:lang w:val="en-US" w:eastAsia="zh-CN" w:bidi="ar-SA"/>
        </w:rPr>
      </w:pPr>
      <w:r>
        <w:rPr>
          <w:rFonts w:hint="eastAsia" w:ascii="宋体" w:hAnsi="宋体"/>
          <w:b/>
          <w:bCs/>
          <w:sz w:val="28"/>
          <w:szCs w:val="28"/>
          <w:lang w:eastAsia="zh-CN"/>
        </w:rPr>
        <w:t>车辆道闸系统项目</w:t>
      </w:r>
      <w:r>
        <w:rPr>
          <w:rFonts w:hint="eastAsia" w:ascii="宋体" w:hAnsi="宋体" w:cs="Times New Roman"/>
          <w:b/>
          <w:bCs/>
          <w:sz w:val="28"/>
          <w:szCs w:val="28"/>
          <w:lang w:val="en-US" w:eastAsia="zh-CN"/>
        </w:rPr>
        <w:t>采购需求</w:t>
      </w:r>
    </w:p>
    <w:p>
      <w:pPr>
        <w:jc w:val="both"/>
        <w:rPr>
          <w:rFonts w:hint="eastAsia" w:cs="Times New Roman"/>
          <w:b/>
          <w:bCs/>
          <w:iCs/>
          <w:color w:val="auto"/>
          <w:kern w:val="0"/>
          <w:sz w:val="21"/>
          <w:szCs w:val="21"/>
          <w:lang w:val="en-US" w:eastAsia="zh-CN" w:bidi="ar-SA"/>
        </w:rPr>
      </w:pPr>
    </w:p>
    <w:p>
      <w:pPr>
        <w:numPr>
          <w:ilvl w:val="0"/>
          <w:numId w:val="2"/>
        </w:numPr>
        <w:jc w:val="both"/>
        <w:rPr>
          <w:rFonts w:hint="eastAsia" w:ascii="宋体" w:hAnsi="宋体" w:eastAsia="宋体" w:cs="宋体"/>
          <w:sz w:val="24"/>
          <w:szCs w:val="24"/>
          <w:highlight w:val="none"/>
          <w:lang w:eastAsia="zh-CN"/>
        </w:rPr>
      </w:pPr>
      <w:r>
        <w:rPr>
          <w:rFonts w:hint="eastAsia" w:ascii="宋体" w:hAnsi="宋体"/>
          <w:b/>
          <w:color w:val="auto"/>
          <w:sz w:val="24"/>
          <w:szCs w:val="24"/>
        </w:rPr>
        <w:t>项目概述</w:t>
      </w:r>
      <w:r>
        <w:rPr>
          <w:rFonts w:hint="eastAsia" w:ascii="宋体" w:hAnsi="宋体"/>
          <w:b/>
          <w:color w:val="auto"/>
          <w:sz w:val="21"/>
          <w:szCs w:val="21"/>
        </w:rPr>
        <w:t>：</w:t>
      </w:r>
      <w:r>
        <w:rPr>
          <w:rFonts w:hint="eastAsia" w:ascii="宋体" w:hAnsi="宋体" w:eastAsia="宋体" w:cs="宋体"/>
          <w:sz w:val="24"/>
          <w:szCs w:val="24"/>
          <w:highlight w:val="none"/>
          <w:lang w:eastAsia="zh-CN"/>
        </w:rPr>
        <w:t>现有东北</w:t>
      </w:r>
      <w:r>
        <w:rPr>
          <w:rFonts w:hint="eastAsia" w:ascii="宋体" w:hAnsi="宋体" w:eastAsia="宋体" w:cs="宋体"/>
          <w:sz w:val="24"/>
          <w:szCs w:val="24"/>
          <w:highlight w:val="none"/>
          <w:lang w:val="en-US" w:eastAsia="zh-CN"/>
        </w:rPr>
        <w:t>2门未安装车辆道闸机及东北1门</w:t>
      </w:r>
      <w:r>
        <w:rPr>
          <w:rFonts w:hint="eastAsia" w:ascii="宋体" w:hAnsi="宋体" w:eastAsia="宋体" w:cs="宋体"/>
          <w:sz w:val="24"/>
          <w:szCs w:val="24"/>
          <w:highlight w:val="none"/>
          <w:lang w:eastAsia="zh-CN"/>
        </w:rPr>
        <w:t>道闸已年久不能正常运行。为方便教职员工车辆进出，同时也能将外来车辆有效控制在校外，确保校内校交通正常有序运转，达到有效管理。</w:t>
      </w:r>
    </w:p>
    <w:p>
      <w:pPr>
        <w:numPr>
          <w:ilvl w:val="0"/>
          <w:numId w:val="2"/>
        </w:numPr>
        <w:jc w:val="both"/>
        <w:rPr>
          <w:rFonts w:hint="eastAsia" w:ascii="宋体" w:hAnsi="宋体" w:eastAsia="宋体" w:cs="宋体"/>
          <w:sz w:val="24"/>
          <w:szCs w:val="24"/>
          <w:highlight w:val="none"/>
          <w:lang w:eastAsia="zh-CN"/>
        </w:rPr>
      </w:pPr>
      <w:r>
        <w:rPr>
          <w:rFonts w:hint="eastAsia" w:ascii="宋体" w:hAnsi="宋体" w:eastAsia="宋体" w:cs="宋体"/>
          <w:b/>
          <w:bCs/>
          <w:color w:val="000000"/>
          <w:kern w:val="2"/>
          <w:sz w:val="24"/>
          <w:szCs w:val="24"/>
          <w:lang w:val="en-US" w:eastAsia="zh-CN" w:bidi="ar-SA"/>
        </w:rPr>
        <w:t>服务范核心产品、技术（服务）</w:t>
      </w:r>
      <w:r>
        <w:rPr>
          <w:rFonts w:hint="eastAsia" w:ascii="宋体" w:hAnsi="宋体" w:cs="宋体"/>
          <w:b/>
          <w:bCs/>
          <w:color w:val="000000"/>
          <w:kern w:val="2"/>
          <w:sz w:val="24"/>
          <w:szCs w:val="24"/>
          <w:lang w:val="en-US" w:eastAsia="zh-CN" w:bidi="ar-SA"/>
        </w:rPr>
        <w:t>需求：</w:t>
      </w:r>
    </w:p>
    <w:p>
      <w:pPr>
        <w:numPr>
          <w:ilvl w:val="0"/>
          <w:numId w:val="0"/>
        </w:numPr>
        <w:rPr>
          <w:rFonts w:hint="eastAsia" w:ascii="宋体" w:hAnsi="宋体" w:cs="宋体"/>
          <w:b/>
          <w:bCs/>
          <w:color w:val="000000"/>
          <w:kern w:val="2"/>
          <w:sz w:val="24"/>
          <w:szCs w:val="24"/>
          <w:lang w:val="en-US" w:eastAsia="zh-CN" w:bidi="ar-SA"/>
        </w:rPr>
      </w:pPr>
    </w:p>
    <w:p>
      <w:pPr>
        <w:numPr>
          <w:ilvl w:val="0"/>
          <w:numId w:val="0"/>
        </w:numPr>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cs="宋体"/>
          <w:b/>
          <w:bCs/>
          <w:color w:val="000000"/>
          <w:kern w:val="2"/>
          <w:sz w:val="24"/>
          <w:szCs w:val="24"/>
          <w:lang w:val="en-US" w:eastAsia="zh-CN" w:bidi="ar-SA"/>
        </w:rPr>
        <w:t>（一）</w:t>
      </w:r>
      <w:r>
        <w:rPr>
          <w:rFonts w:hint="eastAsia" w:ascii="宋体" w:hAnsi="宋体" w:eastAsia="宋体" w:cs="Times New Roman"/>
          <w:kern w:val="2"/>
          <w:sz w:val="24"/>
          <w:szCs w:val="24"/>
          <w:lang w:val="en-US" w:eastAsia="zh-CN"/>
        </w:rPr>
        <w:t>▲智能道闸机、抓拍一体机、道闸管理系统</w:t>
      </w:r>
    </w:p>
    <w:tbl>
      <w:tblPr>
        <w:tblStyle w:val="6"/>
        <w:tblpPr w:leftFromText="180" w:rightFromText="180" w:vertAnchor="text" w:horzAnchor="page" w:tblpX="1112" w:tblpY="23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9"/>
        <w:gridCol w:w="1052"/>
        <w:gridCol w:w="750"/>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序号</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名称</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品项</w:t>
            </w: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数量</w:t>
            </w:r>
          </w:p>
        </w:tc>
        <w:tc>
          <w:tcPr>
            <w:tcW w:w="62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▲智能道闸机</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A02370400(安全、检查、监视、报警设备)</w:t>
            </w: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4</w:t>
            </w:r>
          </w:p>
        </w:tc>
        <w:tc>
          <w:tcPr>
            <w:tcW w:w="62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1.电机功率 150W-200W 2.电机工作温度 ­30℃～80℃ 3.输入电源 24V8.3A  4.防护等级 ≥IP54  5.遥控距离 ≥30M 6.支持起落速度速度可调 2S-6S  7.工艺高温喷塑  8.材质镀锌板 9.杆子规格100*50mm  10.杆子离地高度 900-110CM  11.杆长4-6米  12.遥控器≥2个，压条≥2条，钥匙≥2把  13.支持雷达探测器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▲抓拍一体机</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A02370400(安全、检查、监视、报警设备)</w:t>
            </w: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4</w:t>
            </w:r>
          </w:p>
        </w:tc>
        <w:tc>
          <w:tcPr>
            <w:tcW w:w="62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1.号牌识别率：白天≥99.9%，夜间≥99.9%  2.号牌检出率：白天≥99.9%，夜间≥99.9%  3.有效像素：≥400万像素  4.通讯方式：支持10/100M以太网TCP/IP  5.适应车速：5-80公里/小时  6.工作温度：-25℃~70℃，湿度≤90%  7.图像传感器：1/3" CMOS  8.图像分辨率：≥720P CIF4 CIF  9.电子快门：1/1至1/10000秒，≥22档  10.最佳拍摄范围：≥3-6米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11.车牌识别摄像头防护等级：≥IP66  12.储存：≥8GIF卡（microSD）  13.支持开闸功能，支持相机传透  14.内置≥四颗LED补光灯，亮度可调，每颗最高功耗≤1W  15.配一体式烤漆机箱，内置补光灯,机箱采用厚度不低于2.07mm金属钢制成为了防止机箱锈蚀表面需要求有电镀处理；主杆应为金属铝材质，厚度≥1.7mm;  16.显示屏输入电源：220AC  17.显示屏尺寸：≥304mm*304mm（长*宽） 18.支持四行显示，车牌号码、停车时间、收费金额以及广告信息等  19.支持自带语音播报功能 20.支持脱机收费功能21.支持识别所有车牌（蓝牌·黄牌·警牌·新武警·新军牌·双层牌·新能源牌及粤港澳车牌）22.支持视频识别抓拍，压低感触发抓拍，网络触发抓拍 23.支持摄像机可脱机识别车牌，全天识别率99.9%  24.支持自定义OSD叠加地点信息，时间，日期，OSD颜色自选 25.支持自动锁定车牌位置，以车牌为拍照的焦点，强光抑制，弱光补光，过曝降曝26.支持闪光灯补光智能判断外界环境，自动开启和关闭，无需认为设置  27.支持电动变焦镜头，不用打开护罩，方便调试，可远程协助客户调焦  28.支持≥400像素逐行扫描CMOS，捕捉运动图像无锯齿，无拖影  29.支持夜间抑制车灯眩光，晴天抑制顺光逆光 30.车速支持0-40公里/小时  31.支持最大车道宽度4.5米  32.支持远距离架设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3</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▲智能管理工控道闸管理系统设备</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A02010199（</w:t>
            </w:r>
            <w:r>
              <w:rPr>
                <w:rFonts w:hint="eastAsia" w:ascii="宋体" w:hAnsi="宋体" w:cs="宋体"/>
                <w:i w:val="0"/>
                <w:iCs w:val="0"/>
                <w:caps w:val="0"/>
                <w:color w:val="000000"/>
                <w:spacing w:val="0"/>
                <w:sz w:val="21"/>
                <w:szCs w:val="21"/>
                <w:shd w:val="clear" w:color="auto" w:fill="FFFFFF"/>
                <w:vertAlign w:val="baseline"/>
                <w:lang w:val="en-US" w:eastAsia="zh-CN"/>
              </w:rPr>
              <w:t>其它计算机</w:t>
            </w:r>
            <w:r>
              <w:rPr>
                <w:rFonts w:hint="eastAsia" w:ascii="宋体" w:hAnsi="宋体" w:eastAsia="宋体" w:cs="宋体"/>
                <w:i w:val="0"/>
                <w:iCs w:val="0"/>
                <w:caps w:val="0"/>
                <w:color w:val="000000"/>
                <w:spacing w:val="0"/>
                <w:sz w:val="21"/>
                <w:szCs w:val="21"/>
                <w:shd w:val="clear" w:color="auto" w:fill="FFFFFF"/>
                <w:vertAlign w:val="baseline"/>
                <w:lang w:val="en-US" w:eastAsia="zh-CN"/>
              </w:rPr>
              <w:t>）</w:t>
            </w: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2</w:t>
            </w:r>
          </w:p>
        </w:tc>
        <w:tc>
          <w:tcPr>
            <w:tcW w:w="6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i w:val="0"/>
                <w:iCs w:val="0"/>
                <w:caps w:val="0"/>
                <w:color w:val="000000"/>
                <w:spacing w:val="0"/>
                <w:kern w:val="2"/>
                <w:sz w:val="21"/>
                <w:szCs w:val="21"/>
                <w:shd w:val="clear" w:color="auto" w:fill="FFFFFF"/>
                <w:vertAlign w:val="baseline"/>
                <w:lang w:val="en-US" w:eastAsia="zh-CN" w:bidi="ar-SA"/>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1.支持Intel平台；2.CPU：≥i5-12400同性能CPU 3.CPU主频≥2.5G 4.内存：≥16G  5.硬盘：固态≥500G  4.配套显示端：≥23寸 5.工控主机：长：≦25厘米，宽：≦20厘米，厚：≦5公分； 6.支持分辨率1920*1080； 7.操作系统：支持Windows10及以上版本（含正版授权）8.自带键鼠键盘 9.预装道闸管理系统10、平台必须采用统一操作门户面向所有用户的界面操作必须采用统一平台和门户，不允许同时部署多个业务平台门户。保障所有用户在一个平台上进行操作，可以通过灵活角色权限配置，控制不同用户使用不同功能。11、平台必须全面支持集中管控模式无论从项目管控范围还是业务管控范围，平台都必须支持集中管控。平台支持门禁（含通道）和访客等核心业务的集中管控，平台还可以根据后续业务管理需要，灵活扩充其他业务，例如车辆管理模块、食堂消费模块11、平台人员信息必须实现一次采集、多业务共用平台包含的所有管理业务中，人员信息必须实现一次采集、多业务共用。人员信息至少包含但不限于：人员基础资料、人员生物凭证（至少包含：人脸、指纹等）、人员外部凭证（卡凭证、二维码、密码凭证等）和车辆凭证、访客凭证等。不可出现不同业务模块需要单独管理各自人员信息，导致人员信息多次采集。12、平台要求能支持拓展接入车场进行全面管控平台除了能对所有接入车场的基础数据和业务数据进行汇聚外，还要求能直接管理所有车场的关键业务配置和关键业务操作。至少包含但不限于：车场月卡统一授权、车场黑白名单管理、车位管理、场内车管理、车场月卡和临停收费标准管理等。13、平台要求具有强大的聚合支付能力，集成主流的在线支付渠道平台要求具有强大的聚合支付能力，除了目前主流的微信、支付宝等第三方支付外，还需要能根据公司财务合作需求，灵活扩充各银行在线支付渠道。除在线支付方式外，还要求接入主流无感支付服务商，须有央行颁发支付牌照证书支撑。14、要求平台能灵活配置每个车场在线支付的资金账户，可以实现一个车场一个资金账户，也可以实现多个车场共用一个资金账户。并且平台必须具有完整的清结算和对账能力，能实现每个车场所有在线支付渠道的自动对账和清结算，真正实现车场管理的业财一体，平台厂家有通过企业信息安全三级等级保护认证证书，投标人须提供厂家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4</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交换机</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A0201020(交换机)</w:t>
            </w: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2</w:t>
            </w:r>
          </w:p>
        </w:tc>
        <w:tc>
          <w:tcPr>
            <w:tcW w:w="6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i w:val="0"/>
                <w:iCs w:val="0"/>
                <w:caps w:val="0"/>
                <w:color w:val="000000"/>
                <w:spacing w:val="0"/>
                <w:kern w:val="2"/>
                <w:sz w:val="21"/>
                <w:szCs w:val="21"/>
                <w:shd w:val="clear" w:color="auto" w:fill="FFFFFF"/>
                <w:vertAlign w:val="baseline"/>
                <w:lang w:val="en-US" w:eastAsia="zh-CN" w:bidi="ar-SA"/>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1.千兆端口数量：≥5口   2.散热方式：自然散热   3.上行端口速率：千兆  4.下行端口速率：千兆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5</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电源线</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p>
        </w:tc>
        <w:tc>
          <w:tcPr>
            <w:tcW w:w="6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i w:val="0"/>
                <w:iCs w:val="0"/>
                <w:caps w:val="0"/>
                <w:color w:val="000000"/>
                <w:spacing w:val="0"/>
                <w:kern w:val="2"/>
                <w:sz w:val="21"/>
                <w:szCs w:val="21"/>
                <w:shd w:val="clear" w:color="auto" w:fill="FFFFFF"/>
                <w:vertAlign w:val="baseline"/>
                <w:lang w:val="en-US" w:eastAsia="zh-CN" w:bidi="ar-SA"/>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1.RVV3*2.5国标 无氧铜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6</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aps w:val="0"/>
                <w:color w:val="000000"/>
                <w:spacing w:val="0"/>
                <w:sz w:val="21"/>
                <w:szCs w:val="21"/>
                <w:shd w:val="clear" w:color="auto" w:fill="FFFFFF"/>
                <w:vertAlign w:val="baseline"/>
                <w:lang w:val="en-US" w:eastAsia="zh-CN"/>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网线</w:t>
            </w:r>
          </w:p>
        </w:tc>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p>
        </w:tc>
        <w:tc>
          <w:tcPr>
            <w:tcW w:w="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iCs w:val="0"/>
                <w:caps w:val="0"/>
                <w:color w:val="000000"/>
                <w:spacing w:val="0"/>
                <w:sz w:val="21"/>
                <w:szCs w:val="21"/>
                <w:shd w:val="clear" w:color="auto" w:fill="FFFFFF"/>
                <w:vertAlign w:val="baseline"/>
                <w:lang w:val="en-US" w:eastAsia="zh-CN"/>
              </w:rPr>
            </w:pPr>
          </w:p>
        </w:tc>
        <w:tc>
          <w:tcPr>
            <w:tcW w:w="6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i w:val="0"/>
                <w:iCs w:val="0"/>
                <w:caps w:val="0"/>
                <w:color w:val="000000"/>
                <w:spacing w:val="0"/>
                <w:kern w:val="2"/>
                <w:sz w:val="21"/>
                <w:szCs w:val="21"/>
                <w:shd w:val="clear" w:color="auto" w:fill="FFFFFF"/>
                <w:vertAlign w:val="baseline"/>
                <w:lang w:val="en-US" w:eastAsia="zh-CN" w:bidi="ar-SA"/>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1.超六类 千兆双绞线</w:t>
            </w:r>
          </w:p>
        </w:tc>
      </w:tr>
    </w:tbl>
    <w:p>
      <w:pPr>
        <w:numPr>
          <w:ilvl w:val="0"/>
          <w:numId w:val="0"/>
        </w:numPr>
        <w:jc w:val="both"/>
        <w:rPr>
          <w:rFonts w:hint="eastAsia" w:ascii="宋体" w:hAnsi="宋体" w:eastAsia="宋体" w:cs="宋体"/>
          <w:sz w:val="24"/>
          <w:szCs w:val="24"/>
          <w:highlight w:val="none"/>
          <w:lang w:eastAsia="zh-CN"/>
        </w:rPr>
      </w:pPr>
    </w:p>
    <w:p>
      <w:pPr>
        <w:widowControl/>
        <w:jc w:val="both"/>
        <w:rPr>
          <w:rFonts w:hint="eastAsia" w:ascii="宋体" w:hAnsi="宋体"/>
          <w:b/>
          <w:sz w:val="24"/>
          <w:szCs w:val="24"/>
          <w:highlight w:val="none"/>
        </w:rPr>
      </w:pPr>
      <w:r>
        <w:rPr>
          <w:rFonts w:hint="eastAsia" w:ascii="宋体" w:hAnsi="宋体" w:cs="宋体"/>
          <w:b/>
          <w:bCs/>
          <w:color w:val="000000"/>
          <w:kern w:val="2"/>
          <w:sz w:val="24"/>
          <w:szCs w:val="24"/>
          <w:lang w:val="en-US" w:eastAsia="zh-CN" w:bidi="ar-SA"/>
        </w:rPr>
        <w:t>（</w:t>
      </w: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w:t>
      </w:r>
      <w:r>
        <w:rPr>
          <w:rFonts w:hint="eastAsia" w:ascii="宋体" w:hAnsi="宋体" w:eastAsia="宋体" w:cs="宋体"/>
          <w:b/>
          <w:bCs/>
          <w:color w:val="000000"/>
          <w:kern w:val="2"/>
          <w:sz w:val="24"/>
          <w:szCs w:val="24"/>
          <w:lang w:val="en-US" w:eastAsia="zh-CN" w:bidi="ar-SA"/>
        </w:rPr>
        <w:t>商务需求：</w:t>
      </w:r>
    </w:p>
    <w:p>
      <w:pPr>
        <w:numPr>
          <w:ilvl w:val="0"/>
          <w:numId w:val="0"/>
        </w:numPr>
        <w:spacing w:line="600" w:lineRule="exact"/>
        <w:rPr>
          <w:rFonts w:hint="eastAsia" w:ascii="宋体" w:hAnsi="宋体" w:eastAsia="宋体" w:cs="Times New Roman"/>
          <w:b/>
          <w:sz w:val="24"/>
          <w:szCs w:val="24"/>
        </w:rPr>
      </w:pPr>
      <w:r>
        <w:rPr>
          <w:rFonts w:hint="eastAsia" w:ascii="宋体" w:hAnsi="宋体" w:eastAsia="宋体" w:cs="Times New Roman"/>
          <w:b/>
          <w:kern w:val="2"/>
          <w:sz w:val="24"/>
          <w:szCs w:val="24"/>
          <w:lang w:val="en-US" w:eastAsia="zh-CN" w:bidi="ar-SA"/>
        </w:rPr>
        <w:t>（一）</w:t>
      </w:r>
      <w:r>
        <w:rPr>
          <w:rFonts w:hint="eastAsia" w:ascii="宋体" w:hAnsi="宋体" w:eastAsia="宋体" w:cs="Times New Roman"/>
          <w:b/>
          <w:sz w:val="24"/>
          <w:szCs w:val="24"/>
        </w:rPr>
        <w:t>售后服务</w:t>
      </w:r>
      <w:r>
        <w:rPr>
          <w:rFonts w:hint="eastAsia" w:ascii="宋体" w:hAnsi="宋体" w:eastAsia="宋体" w:cs="Times New Roman"/>
          <w:b/>
          <w:sz w:val="24"/>
          <w:szCs w:val="24"/>
          <w:lang w:eastAsia="zh-CN"/>
        </w:rPr>
        <w:t>及其它要求</w:t>
      </w:r>
      <w:r>
        <w:rPr>
          <w:rFonts w:hint="eastAsia" w:ascii="宋体" w:hAnsi="宋体" w:eastAsia="宋体" w:cs="Times New Roman"/>
          <w:b/>
          <w:sz w:val="24"/>
          <w:szCs w:val="24"/>
        </w:rPr>
        <w:t xml:space="preserve">： </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、售后服务：质保期内出现质量</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问题，供应商应在1小时内响应，迅速解决故障，并承担所产生的费用。如</w:t>
      </w:r>
      <w:r>
        <w:rPr>
          <w:rFonts w:hint="eastAsia" w:ascii="宋体" w:hAnsi="宋体" w:eastAsia="宋体" w:cs="宋体"/>
          <w:sz w:val="24"/>
          <w:szCs w:val="24"/>
          <w:highlight w:val="none"/>
          <w:lang w:eastAsia="zh-CN"/>
        </w:rPr>
        <w:t>产品</w:t>
      </w:r>
      <w:r>
        <w:rPr>
          <w:rFonts w:hint="eastAsia" w:ascii="宋体" w:hAnsi="宋体" w:eastAsia="宋体" w:cs="宋体"/>
          <w:sz w:val="24"/>
          <w:szCs w:val="24"/>
          <w:highlight w:val="none"/>
        </w:rPr>
        <w:t>经乙方3次维修仍不能达到本合同约定的质量标准，甲方有权退货并追究乙方的违约责任。</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、中标人须指派专人负责与采购方联系售后服务事宜。</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、质保期：三年。</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、培训要求：中标人需指派专人对采购方相关人员进行培训，使其能熟练使用设备。</w:t>
      </w:r>
    </w:p>
    <w:p>
      <w:pPr>
        <w:rPr>
          <w:rFonts w:ascii="宋体" w:hAnsi="宋体" w:cs="宋体"/>
          <w:b/>
          <w:sz w:val="24"/>
        </w:rPr>
      </w:pPr>
      <w:r>
        <w:rPr>
          <w:rFonts w:hint="eastAsia" w:ascii="宋体" w:hAnsi="宋体"/>
          <w:b/>
          <w:sz w:val="24"/>
        </w:rPr>
        <w:t>（二）</w:t>
      </w:r>
      <w:r>
        <w:rPr>
          <w:rFonts w:hint="eastAsia" w:ascii="宋体" w:hAnsi="宋体" w:cs="宋体"/>
          <w:b/>
          <w:sz w:val="24"/>
        </w:rPr>
        <w:t>货物类项目：交货时间、地点、付款方式、验收标准等：</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rPr>
        <w:t>1、交货时间：合同签订后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 xml:space="preserve"> 个日历天内完成交付及验收。</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rPr>
        <w:t>2、交货地点：四川文化产业职业学院。</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rPr>
        <w:t>3、投标人所提供的货物价格是包干价，包括货物价格、运费、税费、安装等一切与本项目相关的费用。</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4、验收方法：国家有关规定以及采购方招标文件的质量要求和技术指标、中标人的投标文件及承诺与本合同约定标准进行验收。由采购方组织，中标人配合进行。</w:t>
      </w:r>
    </w:p>
    <w:p>
      <w:pPr>
        <w:pStyle w:val="4"/>
        <w:spacing w:line="400" w:lineRule="exact"/>
        <w:ind w:left="210" w:leftChars="100" w:firstLine="240" w:firstLineChars="100"/>
        <w:rPr>
          <w:rFonts w:ascii="宋体" w:hAnsi="宋体"/>
          <w:bCs/>
          <w:sz w:val="24"/>
        </w:rPr>
      </w:pPr>
      <w:r>
        <w:rPr>
          <w:rFonts w:hint="eastAsia" w:ascii="宋体" w:hAnsi="宋体" w:eastAsia="宋体" w:cs="宋体"/>
          <w:sz w:val="24"/>
          <w:szCs w:val="24"/>
          <w:highlight w:val="none"/>
        </w:rPr>
        <w:t>5、验收标准：</w:t>
      </w:r>
      <w:r>
        <w:rPr>
          <w:rFonts w:hint="eastAsia" w:ascii="宋体" w:hAnsi="宋体"/>
          <w:bCs/>
          <w:sz w:val="24"/>
        </w:rPr>
        <w:t>符合国家（或行业）相关标准并通过采购人组织的验收考核，并参照《财政部关于进一步加强政府采购需求和履约验收管理的指导意见》要求组织验收。</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ascii="宋体" w:hAnsi="宋体" w:eastAsia="宋体" w:cs="宋体"/>
          <w:sz w:val="24"/>
          <w:szCs w:val="24"/>
          <w:highlight w:val="none"/>
        </w:rPr>
        <w:t>6、付款方式：</w:t>
      </w:r>
      <w:r>
        <w:rPr>
          <w:rFonts w:hint="eastAsia" w:ascii="宋体" w:hAnsi="宋体" w:eastAsia="宋体" w:cs="宋体"/>
          <w:sz w:val="24"/>
          <w:szCs w:val="24"/>
          <w:highlight w:val="none"/>
          <w:lang w:val="en-US"/>
        </w:rPr>
        <w:t>本</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rPr>
        <w:t>签订</w:t>
      </w:r>
      <w:r>
        <w:rPr>
          <w:rFonts w:hint="eastAsia" w:ascii="宋体" w:hAnsi="宋体" w:eastAsia="宋体" w:cs="宋体"/>
          <w:sz w:val="24"/>
          <w:szCs w:val="24"/>
          <w:highlight w:val="none"/>
        </w:rPr>
        <w:t>前，</w:t>
      </w:r>
      <w:r>
        <w:rPr>
          <w:rFonts w:hint="eastAsia" w:ascii="宋体" w:hAnsi="宋体" w:eastAsia="宋体" w:cs="宋体"/>
          <w:sz w:val="24"/>
          <w:szCs w:val="24"/>
          <w:highlight w:val="none"/>
          <w:lang w:val="en-US"/>
        </w:rPr>
        <w:t>乙方须向甲方</w:t>
      </w:r>
      <w:r>
        <w:rPr>
          <w:rFonts w:hint="eastAsia" w:ascii="宋体" w:hAnsi="宋体" w:eastAsia="宋体" w:cs="宋体"/>
          <w:sz w:val="24"/>
          <w:szCs w:val="24"/>
          <w:highlight w:val="none"/>
        </w:rPr>
        <w:t>缴纳合同总</w:t>
      </w:r>
      <w:r>
        <w:rPr>
          <w:rFonts w:hint="eastAsia" w:ascii="宋体" w:hAnsi="宋体" w:eastAsia="宋体" w:cs="宋体"/>
          <w:sz w:val="24"/>
          <w:szCs w:val="24"/>
          <w:highlight w:val="none"/>
          <w:lang w:val="en-US"/>
        </w:rPr>
        <w:t>价</w:t>
      </w:r>
      <w:r>
        <w:rPr>
          <w:rFonts w:hint="eastAsia" w:ascii="宋体" w:hAnsi="宋体" w:eastAsia="宋体" w:cs="宋体"/>
          <w:sz w:val="24"/>
          <w:szCs w:val="24"/>
          <w:highlight w:val="none"/>
        </w:rPr>
        <w:t>5%的履约保证金，项目验收合格后，履约保证金转为质量保证金，质保期满后，</w:t>
      </w:r>
      <w:r>
        <w:rPr>
          <w:rFonts w:hint="eastAsia" w:ascii="宋体" w:hAnsi="宋体" w:eastAsia="宋体" w:cs="宋体"/>
          <w:sz w:val="24"/>
          <w:szCs w:val="24"/>
          <w:highlight w:val="none"/>
          <w:lang w:val="en-US"/>
        </w:rPr>
        <w:t>项目运行无问题，乙方完整履行质保义务的，甲方</w:t>
      </w:r>
      <w:r>
        <w:rPr>
          <w:rFonts w:hint="eastAsia" w:ascii="宋体" w:hAnsi="宋体" w:eastAsia="宋体" w:cs="宋体"/>
          <w:sz w:val="24"/>
          <w:szCs w:val="24"/>
          <w:highlight w:val="none"/>
        </w:rPr>
        <w:t>无息</w:t>
      </w:r>
      <w:r>
        <w:rPr>
          <w:rFonts w:hint="eastAsia" w:ascii="宋体" w:hAnsi="宋体" w:eastAsia="宋体" w:cs="宋体"/>
          <w:sz w:val="24"/>
          <w:szCs w:val="24"/>
          <w:highlight w:val="none"/>
          <w:lang w:val="en-US"/>
        </w:rPr>
        <w:t>退还乙方。</w:t>
      </w:r>
      <w:r>
        <w:rPr>
          <w:rFonts w:hint="eastAsia" w:ascii="宋体" w:hAnsi="宋体" w:eastAsia="宋体" w:cs="宋体"/>
          <w:sz w:val="24"/>
          <w:szCs w:val="24"/>
          <w:highlight w:val="none"/>
        </w:rPr>
        <w:t>项目安装调试完成并验收合格后，中标人按要求提交请款申请后15个工作日，甲方向乙方支付合同金额的</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%款项。</w:t>
      </w:r>
    </w:p>
    <w:p>
      <w:pPr>
        <w:rPr>
          <w:rFonts w:ascii="宋体" w:hAnsi="宋体"/>
          <w:b/>
          <w:sz w:val="24"/>
        </w:rPr>
      </w:pPr>
      <w:r>
        <w:rPr>
          <w:rFonts w:hint="eastAsia" w:ascii="宋体" w:hAnsi="宋体" w:eastAsia="宋体" w:cs="宋体"/>
          <w:i w:val="0"/>
          <w:iCs w:val="0"/>
          <w:caps w:val="0"/>
          <w:color w:val="000000"/>
          <w:spacing w:val="0"/>
          <w:sz w:val="21"/>
          <w:szCs w:val="21"/>
          <w:shd w:val="clear" w:color="auto" w:fill="FFFFFF"/>
          <w:vertAlign w:val="baseline"/>
          <w:lang w:val="en-US" w:eastAsia="zh-CN"/>
        </w:rPr>
        <w:t>▲</w:t>
      </w:r>
      <w:r>
        <w:rPr>
          <w:rFonts w:hint="eastAsia"/>
          <w:b/>
          <w:sz w:val="24"/>
        </w:rPr>
        <w:t>（</w:t>
      </w:r>
      <w:r>
        <w:rPr>
          <w:rFonts w:hint="eastAsia"/>
          <w:b/>
          <w:sz w:val="24"/>
          <w:lang w:val="en-US" w:eastAsia="zh-CN"/>
        </w:rPr>
        <w:t>三</w:t>
      </w:r>
      <w:r>
        <w:rPr>
          <w:rFonts w:hint="eastAsia"/>
          <w:b/>
          <w:sz w:val="24"/>
        </w:rPr>
        <w:t>）</w:t>
      </w:r>
      <w:r>
        <w:rPr>
          <w:rFonts w:hint="eastAsia" w:ascii="宋体" w:hAnsi="宋体"/>
          <w:b/>
          <w:sz w:val="24"/>
        </w:rPr>
        <w:t>履约保证金</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履约保证金：不收取（ ）     收取（√）</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r>
        <w:rPr>
          <w:rFonts w:hint="eastAsia" w:ascii="宋体" w:hAnsi="宋体" w:eastAsia="宋体" w:cs="宋体"/>
          <w:sz w:val="24"/>
          <w:szCs w:val="24"/>
          <w:highlight w:val="none"/>
          <w:lang w:eastAsia="zh-CN"/>
        </w:rPr>
        <w:t>中标单位需</w:t>
      </w:r>
      <w:r>
        <w:rPr>
          <w:rFonts w:hint="eastAsia" w:ascii="宋体" w:hAnsi="宋体" w:eastAsia="宋体" w:cs="宋体"/>
          <w:sz w:val="24"/>
          <w:szCs w:val="24"/>
          <w:highlight w:val="none"/>
        </w:rPr>
        <w:t>缴纳合同总</w:t>
      </w:r>
      <w:r>
        <w:rPr>
          <w:rFonts w:hint="eastAsia" w:ascii="宋体" w:hAnsi="宋体" w:eastAsia="宋体" w:cs="宋体"/>
          <w:sz w:val="24"/>
          <w:szCs w:val="24"/>
          <w:highlight w:val="none"/>
          <w:lang w:val="en-US"/>
        </w:rPr>
        <w:t>价</w:t>
      </w:r>
      <w:r>
        <w:rPr>
          <w:rFonts w:hint="eastAsia" w:ascii="宋体" w:hAnsi="宋体" w:eastAsia="宋体" w:cs="宋体"/>
          <w:sz w:val="24"/>
          <w:szCs w:val="24"/>
          <w:highlight w:val="none"/>
        </w:rPr>
        <w:t>5%的履约保证金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交款方式：网银转账</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收款单位：四川文化产业职业学院</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开户银行：4402902009100055397</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银行账号：工行盐市口支行</w:t>
      </w:r>
    </w:p>
    <w:p>
      <w:pPr>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交款时间：中标（成交）通知书发出后，采购合同签订前；</w:t>
      </w:r>
    </w:p>
    <w:p>
      <w:pPr>
        <w:ind w:firstLine="480" w:firstLineChars="200"/>
      </w:pPr>
      <w:r>
        <w:rPr>
          <w:rFonts w:hint="eastAsia" w:ascii="宋体" w:hAnsi="宋体" w:eastAsia="宋体" w:cs="宋体"/>
          <w:sz w:val="24"/>
          <w:szCs w:val="24"/>
          <w:highlight w:val="none"/>
        </w:rPr>
        <w:t>退款方式：履约验收合格后一次性及时退还。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CF1A3"/>
    <w:multiLevelType w:val="singleLevel"/>
    <w:tmpl w:val="908CF1A3"/>
    <w:lvl w:ilvl="0" w:tentative="0">
      <w:start w:val="1"/>
      <w:numFmt w:val="chineseCounting"/>
      <w:suff w:val="nothing"/>
      <w:lvlText w:val="%1、"/>
      <w:lvlJc w:val="left"/>
      <w:rPr>
        <w:rFonts w:hint="eastAsia"/>
      </w:rPr>
    </w:lvl>
  </w:abstractNum>
  <w:abstractNum w:abstractNumId="1">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RiM2UxY2M2NTI1Y2YxYWY3NDFkODgxYzRkZTYifQ=="/>
  </w:docVars>
  <w:rsids>
    <w:rsidRoot w:val="7CF01A4F"/>
    <w:rsid w:val="06A134D0"/>
    <w:rsid w:val="093939D2"/>
    <w:rsid w:val="11ED44F6"/>
    <w:rsid w:val="15702F1E"/>
    <w:rsid w:val="18C76BD6"/>
    <w:rsid w:val="2CEF6B5D"/>
    <w:rsid w:val="32674E87"/>
    <w:rsid w:val="3A73305B"/>
    <w:rsid w:val="67FD3921"/>
    <w:rsid w:val="7B64712A"/>
    <w:rsid w:val="7CF0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tabs>
        <w:tab w:val="left" w:pos="567"/>
      </w:tabs>
      <w:spacing w:beforeLines="50" w:afterLines="50" w:line="440" w:lineRule="exact"/>
      <w:ind w:left="0" w:leftChars="-58" w:hanging="139" w:hangingChars="66"/>
      <w:jc w:val="left"/>
      <w:outlineLvl w:val="1"/>
    </w:pPr>
    <w:rPr>
      <w:rFonts w:ascii="宋体" w:hAnsi="宋体"/>
      <w:b/>
      <w:bCs/>
      <w:iCs/>
      <w:color w:val="000000"/>
      <w:kern w:val="0"/>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2"/>
    </w:pPr>
    <w:rPr>
      <w:rFonts w:ascii="宋体" w:hAnsi="宋体"/>
      <w:sz w:val="24"/>
    </w:rPr>
  </w:style>
  <w:style w:type="paragraph" w:styleId="4">
    <w:name w:val="Normal Indent"/>
    <w:basedOn w:val="1"/>
    <w:qFormat/>
    <w:uiPriority w:val="0"/>
    <w:pPr>
      <w:ind w:firstLine="420" w:firstLineChars="200"/>
    </w:pPr>
    <w:rPr>
      <w:rFonts w:ascii="Times New Roman" w:hAnsi="Calibri" w:eastAsia="宋体"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next w:val="2"/>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2672</Words>
  <Characters>3059</Characters>
  <Lines>0</Lines>
  <Paragraphs>0</Paragraphs>
  <TotalTime>14</TotalTime>
  <ScaleCrop>false</ScaleCrop>
  <LinksUpToDate>false</LinksUpToDate>
  <CharactersWithSpaces>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2024-06-21T08:06:00Z</dcterms:created>
  <dc:creator>家有二宝</dc:creator>
  <cp:lastModifiedBy>家有二宝</cp:lastModifiedBy>
  <dcterms:modified xsi:type="dcterms:W3CDTF">2024-07-01T08:34:00Z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ACD1963684794A9C9DE92FA80992B59F_13</vt:lpwstr>
  </property>
</Properties>
</file>