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EF5D">
      <w:pPr>
        <w:keepNext w:val="0"/>
        <w:keepLines w:val="0"/>
        <w:widowControl/>
        <w:suppressLineNumbers w:val="0"/>
        <w:spacing w:line="360" w:lineRule="auto"/>
        <w:jc w:val="left"/>
      </w:pPr>
      <w:r>
        <w:rPr>
          <w:rFonts w:ascii="仿宋" w:hAnsi="仿宋" w:eastAsia="仿宋" w:cs="仿宋"/>
          <w:b/>
          <w:bCs/>
          <w:color w:val="000000"/>
          <w:kern w:val="0"/>
          <w:sz w:val="28"/>
          <w:szCs w:val="28"/>
          <w:lang w:val="en-US" w:eastAsia="zh-CN" w:bidi="ar"/>
        </w:rPr>
        <w:t>一、项目概述</w:t>
      </w:r>
    </w:p>
    <w:p w14:paraId="6EC47BBA">
      <w:pPr>
        <w:keepNext w:val="0"/>
        <w:keepLines w:val="0"/>
        <w:widowControl/>
        <w:suppressLineNumbers w:val="0"/>
        <w:spacing w:line="360" w:lineRule="auto"/>
        <w:ind w:firstLine="420" w:firstLineChars="0"/>
        <w:jc w:val="left"/>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本项目为</w:t>
      </w:r>
      <w:r>
        <w:rPr>
          <w:rFonts w:hint="eastAsia" w:ascii="仿宋" w:hAnsi="仿宋" w:eastAsia="仿宋" w:cs="仿宋"/>
          <w:color w:val="000000"/>
          <w:kern w:val="0"/>
          <w:sz w:val="24"/>
          <w:szCs w:val="24"/>
          <w:lang w:val="en-US" w:eastAsia="zh-CN" w:bidi="ar"/>
        </w:rPr>
        <w:t>正采股份有限公司</w:t>
      </w:r>
      <w:bookmarkStart w:id="0" w:name="_GoBack"/>
      <w:bookmarkEnd w:id="0"/>
      <w:r>
        <w:rPr>
          <w:rFonts w:hint="eastAsia" w:ascii="仿宋" w:hAnsi="仿宋" w:eastAsia="仿宋" w:cs="仿宋"/>
          <w:color w:val="000000"/>
          <w:kern w:val="0"/>
          <w:sz w:val="24"/>
          <w:szCs w:val="24"/>
          <w:lang w:val="en-US" w:eastAsia="zh-CN" w:bidi="ar"/>
        </w:rPr>
        <w:t>阳光慧采采资一体化</w:t>
      </w:r>
      <w:r>
        <w:rPr>
          <w:rFonts w:ascii="仿宋" w:hAnsi="仿宋" w:eastAsia="仿宋" w:cs="仿宋"/>
          <w:color w:val="000000"/>
          <w:kern w:val="0"/>
          <w:sz w:val="24"/>
          <w:szCs w:val="24"/>
          <w:lang w:val="en-US" w:eastAsia="zh-CN" w:bidi="ar"/>
        </w:rPr>
        <w:t>系统网</w:t>
      </w:r>
      <w:r>
        <w:rPr>
          <w:rFonts w:hint="eastAsia" w:ascii="仿宋" w:hAnsi="仿宋" w:eastAsia="仿宋" w:cs="仿宋"/>
          <w:color w:val="000000"/>
          <w:kern w:val="0"/>
          <w:sz w:val="24"/>
          <w:szCs w:val="24"/>
          <w:lang w:val="en-US" w:eastAsia="zh-CN" w:bidi="ar"/>
        </w:rPr>
        <w:t>络安全等级保护测评服务采购项目，按照《中华人民共和国网络安全法》要求“国家实行网络安全等级保护制度，网络运营者应当按照网络安全等级保护制度的要求，履行下列安全保护义务，保障网络免受干扰、破坏或者未经授权的访问，防止网络数据 泄露或者被窃取、篡改。”以及《信息安全等级保护管理办法》要求“信息系统建设完成后，运营、使用单位或者其主管部门应当选择符合本办法规定条件的测评机构，依据《信息系统安全等级保护测评要求》等技术标准，定期对信息系统安全等级状况开展等级测评”。</w:t>
      </w:r>
    </w:p>
    <w:p w14:paraId="3751720C">
      <w:pPr>
        <w:keepNext w:val="0"/>
        <w:keepLines w:val="0"/>
        <w:widowControl/>
        <w:numPr>
          <w:ilvl w:val="0"/>
          <w:numId w:val="1"/>
        </w:numPr>
        <w:suppressLineNumbers w:val="0"/>
        <w:spacing w:line="360" w:lineRule="auto"/>
        <w:jc w:val="left"/>
        <w:rPr>
          <w:rFonts w:ascii="仿宋" w:hAnsi="仿宋" w:eastAsia="仿宋" w:cs="仿宋"/>
          <w:b/>
          <w:bCs/>
          <w:color w:val="000000"/>
          <w:kern w:val="0"/>
          <w:sz w:val="28"/>
          <w:szCs w:val="28"/>
          <w:lang w:val="en-US" w:eastAsia="zh-CN" w:bidi="ar"/>
        </w:rPr>
      </w:pPr>
      <w:r>
        <w:rPr>
          <w:rFonts w:ascii="仿宋" w:hAnsi="仿宋" w:eastAsia="仿宋" w:cs="仿宋"/>
          <w:b/>
          <w:bCs/>
          <w:color w:val="000000"/>
          <w:kern w:val="0"/>
          <w:sz w:val="28"/>
          <w:szCs w:val="28"/>
          <w:lang w:val="en-US" w:eastAsia="zh-CN" w:bidi="ar"/>
        </w:rPr>
        <w:t>采购内容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4739"/>
        <w:gridCol w:w="2841"/>
      </w:tblGrid>
      <w:tr w14:paraId="44A9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2970B759">
            <w:pPr>
              <w:keepNext w:val="0"/>
              <w:keepLines w:val="0"/>
              <w:widowControl/>
              <w:suppressLineNumbers w:val="0"/>
              <w:spacing w:line="360" w:lineRule="auto"/>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4739" w:type="dxa"/>
          </w:tcPr>
          <w:p w14:paraId="668E9E47">
            <w:pPr>
              <w:keepNext w:val="0"/>
              <w:keepLines w:val="0"/>
              <w:widowControl/>
              <w:suppressLineNumbers w:val="0"/>
              <w:spacing w:line="360" w:lineRule="auto"/>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系统名称</w:t>
            </w:r>
          </w:p>
        </w:tc>
        <w:tc>
          <w:tcPr>
            <w:tcW w:w="2841" w:type="dxa"/>
          </w:tcPr>
          <w:p w14:paraId="39E1D8B0">
            <w:pPr>
              <w:keepNext w:val="0"/>
              <w:keepLines w:val="0"/>
              <w:widowControl/>
              <w:suppressLineNumbers w:val="0"/>
              <w:spacing w:line="360" w:lineRule="auto"/>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安全保护等级</w:t>
            </w:r>
          </w:p>
        </w:tc>
      </w:tr>
      <w:tr w14:paraId="0243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54ED046E">
            <w:pPr>
              <w:keepNext w:val="0"/>
              <w:keepLines w:val="0"/>
              <w:widowControl/>
              <w:suppressLineNumbers w:val="0"/>
              <w:spacing w:line="360" w:lineRule="auto"/>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4739" w:type="dxa"/>
          </w:tcPr>
          <w:p w14:paraId="782D1D9A">
            <w:pPr>
              <w:keepNext w:val="0"/>
              <w:keepLines w:val="0"/>
              <w:widowControl/>
              <w:suppressLineNumbers w:val="0"/>
              <w:spacing w:line="360" w:lineRule="auto"/>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阳光慧采采资一体化</w:t>
            </w:r>
            <w:r>
              <w:rPr>
                <w:rFonts w:ascii="仿宋" w:hAnsi="仿宋" w:eastAsia="仿宋" w:cs="仿宋"/>
                <w:color w:val="000000"/>
                <w:kern w:val="0"/>
                <w:sz w:val="24"/>
                <w:szCs w:val="24"/>
                <w:lang w:val="en-US" w:eastAsia="zh-CN" w:bidi="ar"/>
              </w:rPr>
              <w:t>系统</w:t>
            </w:r>
          </w:p>
        </w:tc>
        <w:tc>
          <w:tcPr>
            <w:tcW w:w="2841" w:type="dxa"/>
          </w:tcPr>
          <w:p w14:paraId="48162A0B">
            <w:pPr>
              <w:keepNext w:val="0"/>
              <w:keepLines w:val="0"/>
              <w:widowControl/>
              <w:suppressLineNumbers w:val="0"/>
              <w:spacing w:line="360" w:lineRule="auto"/>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第三级</w:t>
            </w:r>
          </w:p>
        </w:tc>
      </w:tr>
    </w:tbl>
    <w:p w14:paraId="64129967">
      <w:pPr>
        <w:keepNext w:val="0"/>
        <w:keepLines w:val="0"/>
        <w:widowControl/>
        <w:numPr>
          <w:ilvl w:val="0"/>
          <w:numId w:val="1"/>
        </w:numPr>
        <w:suppressLineNumbers w:val="0"/>
        <w:spacing w:line="360" w:lineRule="auto"/>
        <w:jc w:val="left"/>
        <w:rPr>
          <w:rFonts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项目需求</w:t>
      </w:r>
    </w:p>
    <w:p w14:paraId="30DDCA36">
      <w:pPr>
        <w:keepNext w:val="0"/>
        <w:keepLines w:val="0"/>
        <w:widowControl/>
        <w:suppressLineNumbers w:val="0"/>
        <w:spacing w:line="360" w:lineRule="auto"/>
        <w:jc w:val="left"/>
      </w:pPr>
      <w:r>
        <w:rPr>
          <w:rFonts w:ascii="仿宋" w:hAnsi="仿宋" w:eastAsia="仿宋" w:cs="仿宋"/>
          <w:color w:val="000000"/>
          <w:kern w:val="0"/>
          <w:sz w:val="24"/>
          <w:szCs w:val="24"/>
          <w:lang w:val="en-US" w:eastAsia="zh-CN" w:bidi="ar"/>
        </w:rPr>
        <w:t xml:space="preserve">测评内容包括技术和管理测评： </w:t>
      </w:r>
    </w:p>
    <w:p w14:paraId="4798B106">
      <w:pPr>
        <w:keepNext w:val="0"/>
        <w:keepLines w:val="0"/>
        <w:widowControl/>
        <w:numPr>
          <w:ilvl w:val="0"/>
          <w:numId w:val="2"/>
        </w:numPr>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技术安全性测评包括但不限于：安全物理环境、安全通信网络、安全区域边界、安全计算环境、安全管理中心。</w:t>
      </w:r>
    </w:p>
    <w:p w14:paraId="59F8A449">
      <w:pPr>
        <w:keepNext w:val="0"/>
        <w:keepLines w:val="0"/>
        <w:widowControl/>
        <w:suppressLineNumbers w:val="0"/>
        <w:spacing w:line="360" w:lineRule="auto"/>
        <w:jc w:val="left"/>
      </w:pPr>
      <w:r>
        <w:rPr>
          <w:rFonts w:ascii="仿宋" w:hAnsi="仿宋" w:eastAsia="仿宋" w:cs="仿宋"/>
          <w:color w:val="000000"/>
          <w:kern w:val="0"/>
          <w:sz w:val="24"/>
          <w:szCs w:val="24"/>
          <w:lang w:val="en-US" w:eastAsia="zh-CN" w:bidi="ar"/>
        </w:rPr>
        <w:t>2．管理安全测评包括但不限于：安全管理制度、安全管理机构、安全管理人员、</w:t>
      </w:r>
    </w:p>
    <w:p w14:paraId="4A8B002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安全建设管理、安全运维管理。</w:t>
      </w:r>
    </w:p>
    <w:p w14:paraId="69EB7CD5">
      <w:pPr>
        <w:keepNext w:val="0"/>
        <w:keepLines w:val="0"/>
        <w:widowControl/>
        <w:suppressLineNumbers w:val="0"/>
        <w:spacing w:line="360" w:lineRule="auto"/>
        <w:jc w:val="left"/>
      </w:pPr>
      <w:r>
        <w:rPr>
          <w:rFonts w:ascii="仿宋" w:hAnsi="仿宋" w:eastAsia="仿宋" w:cs="仿宋"/>
          <w:color w:val="000000"/>
          <w:kern w:val="0"/>
          <w:sz w:val="24"/>
          <w:szCs w:val="24"/>
          <w:lang w:val="en-US" w:eastAsia="zh-CN" w:bidi="ar"/>
        </w:rPr>
        <w:t xml:space="preserve">测评对象及范围 </w:t>
      </w:r>
    </w:p>
    <w:p w14:paraId="225B5840">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本次等级保护测评系统包括</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4739"/>
        <w:gridCol w:w="2841"/>
      </w:tblGrid>
      <w:tr w14:paraId="290B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06445C9E">
            <w:pPr>
              <w:keepNext w:val="0"/>
              <w:keepLines w:val="0"/>
              <w:widowControl/>
              <w:suppressLineNumbers w:val="0"/>
              <w:spacing w:line="360" w:lineRule="auto"/>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4739" w:type="dxa"/>
          </w:tcPr>
          <w:p w14:paraId="20E2EF3D">
            <w:pPr>
              <w:keepNext w:val="0"/>
              <w:keepLines w:val="0"/>
              <w:widowControl/>
              <w:suppressLineNumbers w:val="0"/>
              <w:spacing w:line="360" w:lineRule="auto"/>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系统名称</w:t>
            </w:r>
          </w:p>
        </w:tc>
        <w:tc>
          <w:tcPr>
            <w:tcW w:w="2841" w:type="dxa"/>
          </w:tcPr>
          <w:p w14:paraId="2D8BAEB3">
            <w:pPr>
              <w:keepNext w:val="0"/>
              <w:keepLines w:val="0"/>
              <w:widowControl/>
              <w:suppressLineNumbers w:val="0"/>
              <w:spacing w:line="360" w:lineRule="auto"/>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安全保护等级</w:t>
            </w:r>
          </w:p>
        </w:tc>
      </w:tr>
      <w:tr w14:paraId="5F56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14:paraId="22DCFD23">
            <w:pPr>
              <w:keepNext w:val="0"/>
              <w:keepLines w:val="0"/>
              <w:widowControl/>
              <w:suppressLineNumbers w:val="0"/>
              <w:spacing w:line="360" w:lineRule="auto"/>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4739" w:type="dxa"/>
          </w:tcPr>
          <w:p w14:paraId="0B82E2C9">
            <w:pPr>
              <w:keepNext w:val="0"/>
              <w:keepLines w:val="0"/>
              <w:widowControl/>
              <w:suppressLineNumbers w:val="0"/>
              <w:spacing w:line="360" w:lineRule="auto"/>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阳光慧采采资一体化</w:t>
            </w:r>
            <w:r>
              <w:rPr>
                <w:rFonts w:ascii="仿宋" w:hAnsi="仿宋" w:eastAsia="仿宋" w:cs="仿宋"/>
                <w:color w:val="000000"/>
                <w:kern w:val="0"/>
                <w:sz w:val="24"/>
                <w:szCs w:val="24"/>
                <w:lang w:val="en-US" w:eastAsia="zh-CN" w:bidi="ar"/>
              </w:rPr>
              <w:t>系统</w:t>
            </w:r>
          </w:p>
        </w:tc>
        <w:tc>
          <w:tcPr>
            <w:tcW w:w="2841" w:type="dxa"/>
          </w:tcPr>
          <w:p w14:paraId="17D75ECC">
            <w:pPr>
              <w:keepNext w:val="0"/>
              <w:keepLines w:val="0"/>
              <w:widowControl/>
              <w:suppressLineNumbers w:val="0"/>
              <w:spacing w:line="360" w:lineRule="auto"/>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第三级</w:t>
            </w:r>
          </w:p>
        </w:tc>
      </w:tr>
    </w:tbl>
    <w:p w14:paraId="5DC95992">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p>
    <w:p w14:paraId="304AE4FC">
      <w:pPr>
        <w:keepNext w:val="0"/>
        <w:keepLines w:val="0"/>
        <w:widowControl/>
        <w:suppressLineNumbers w:val="0"/>
        <w:spacing w:line="360" w:lineRule="auto"/>
        <w:jc w:val="left"/>
      </w:pPr>
      <w:r>
        <w:rPr>
          <w:rFonts w:ascii="仿宋" w:hAnsi="仿宋" w:eastAsia="仿宋" w:cs="仿宋"/>
          <w:color w:val="000000"/>
          <w:kern w:val="0"/>
          <w:sz w:val="24"/>
          <w:szCs w:val="24"/>
          <w:lang w:val="en-US" w:eastAsia="zh-CN" w:bidi="ar"/>
        </w:rPr>
        <w:t xml:space="preserve">依据标准 </w:t>
      </w:r>
    </w:p>
    <w:p w14:paraId="5C806D3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①《中华人民共和国网络安全法》 </w:t>
      </w:r>
    </w:p>
    <w:p w14:paraId="5548233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②《信息安全技术 网络安全等级保护基本要求》GB/T 22239-2019 </w:t>
      </w:r>
    </w:p>
    <w:p w14:paraId="1633E84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③《信息安全技术 网络安全等级保护测评要求》GB/T 28448-2019 </w:t>
      </w:r>
    </w:p>
    <w:p w14:paraId="048AFFA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④《信息安全技术信息系统安全等级保护实施指南》GB/T 25058-2019</w:t>
      </w:r>
    </w:p>
    <w:p w14:paraId="4D2D06B6">
      <w:pPr>
        <w:keepNext w:val="0"/>
        <w:keepLines w:val="0"/>
        <w:widowControl/>
        <w:suppressLineNumbers w:val="0"/>
        <w:spacing w:line="360" w:lineRule="auto"/>
        <w:jc w:val="left"/>
      </w:pPr>
      <w:r>
        <w:rPr>
          <w:rFonts w:ascii="仿宋" w:hAnsi="仿宋" w:eastAsia="仿宋" w:cs="仿宋"/>
          <w:color w:val="000000"/>
          <w:kern w:val="0"/>
          <w:sz w:val="24"/>
          <w:szCs w:val="24"/>
          <w:lang w:val="en-US" w:eastAsia="zh-CN" w:bidi="ar"/>
        </w:rPr>
        <w:t xml:space="preserve">⑤《信息安全技术 网络安全等级保护测评过程指南》GB/T 28449-2018 </w:t>
      </w:r>
    </w:p>
    <w:p w14:paraId="098C990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⑥《信息安全技术 网络安全等级保护测试评估技术指南》GB/T 36627-2018 </w:t>
      </w:r>
    </w:p>
    <w:p w14:paraId="4934EDF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⑦《信息安全等级保护管理办法》（公通字 [2007] 43 号） </w:t>
      </w:r>
    </w:p>
    <w:p w14:paraId="77C867C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⑧《网络安全等级保护测评机构管理办法》（公信安 [2018] 765 号） </w:t>
      </w:r>
    </w:p>
    <w:p w14:paraId="1185C9F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⑨《信息安全技术信息系统安全等级保护顶级指南》GB/T 22240-2008 </w:t>
      </w:r>
    </w:p>
    <w:p w14:paraId="40D98DB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⑩《信息安全技术信息安全风险评估规范》GB/T 20984-2007 </w:t>
      </w:r>
    </w:p>
    <w:p w14:paraId="069D7C1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测评原则 </w:t>
      </w:r>
    </w:p>
    <w:p w14:paraId="0D55CE2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（1）客观性和公正性原则： </w:t>
      </w:r>
    </w:p>
    <w:p w14:paraId="6AE260C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虽然测评工作不能完全摆脱个人主张或判断，但测评人员应当没有偏见，在最小主 观判断情形下，按照测评双方相互认可的测评方案，基于明确定义的测评方式和解释， 实施测评活动。 </w:t>
      </w:r>
    </w:p>
    <w:p w14:paraId="65FE507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（2）经济性和可重用性原则： </w:t>
      </w:r>
    </w:p>
    <w:p w14:paraId="3502406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基于测评成本和工作复杂性考虑，鼓励测评工作重用以前的测评结果，包括商业安全产品测评结果和信息系统先前的安全测评结果。所有重用的结果，都应基于结果适用于目前的系统，并且能够反映出目前系统的安全状态基础之上。 </w:t>
      </w:r>
    </w:p>
    <w:p w14:paraId="366BD54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（3）可重复性和可再现性原则： </w:t>
      </w:r>
    </w:p>
    <w:p w14:paraId="3888870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不论谁执行测评，依照同样的要求，使用同样的测评方式，对每个测评实施过程的重复执行应该得到同样的结果。可再现性和可重复性的区别在于，前者与不同测评者测评结果的一致性有关，后者与同一测评者测评结果的一致性有关。 </w:t>
      </w:r>
    </w:p>
    <w:p w14:paraId="22917EA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（4）结果完善性原则： </w:t>
      </w:r>
    </w:p>
    <w:p w14:paraId="1F4EE05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测评所产生的结果应当证明是良好的判断和对测评项的正确理解。测评过程和结果应当服从正确的测评方法以确保其满足了测评项的要求。 </w:t>
      </w:r>
    </w:p>
    <w:p w14:paraId="634938F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（5）项目具体要求 </w:t>
      </w:r>
    </w:p>
    <w:p w14:paraId="2AE0451B">
      <w:pPr>
        <w:keepNext w:val="0"/>
        <w:keepLines w:val="0"/>
        <w:widowControl/>
        <w:suppressLineNumbers w:val="0"/>
        <w:spacing w:line="360" w:lineRule="auto"/>
        <w:ind w:firstLine="420" w:firstLineChars="0"/>
        <w:jc w:val="left"/>
      </w:pPr>
      <w:r>
        <w:rPr>
          <w:rFonts w:hint="eastAsia" w:ascii="仿宋" w:hAnsi="仿宋" w:eastAsia="仿宋" w:cs="仿宋"/>
          <w:color w:val="000000"/>
          <w:kern w:val="0"/>
          <w:sz w:val="24"/>
          <w:szCs w:val="24"/>
          <w:lang w:val="en-US" w:eastAsia="zh-CN" w:bidi="ar"/>
        </w:rPr>
        <w:t xml:space="preserve">对信息系统安全等级保护状况进行测试评估，应包括两个方面的内容：一是安全控制测评，主要测评信息安全等级保护要求的基本安全控制在信息系统中的实施配置情况。二是系统整体测评，主要测评分析信息系统的整体安全性。其中，安全控制测评是信息系统整体安全测评的基础。 </w:t>
      </w:r>
    </w:p>
    <w:p w14:paraId="060CA87C">
      <w:pPr>
        <w:keepNext w:val="0"/>
        <w:keepLines w:val="0"/>
        <w:widowControl/>
        <w:suppressLineNumbers w:val="0"/>
        <w:spacing w:line="360" w:lineRule="auto"/>
        <w:ind w:firstLine="420" w:firstLineChars="0"/>
        <w:jc w:val="left"/>
      </w:pPr>
      <w:r>
        <w:rPr>
          <w:rFonts w:hint="eastAsia" w:ascii="仿宋" w:hAnsi="仿宋" w:eastAsia="仿宋" w:cs="仿宋"/>
          <w:color w:val="000000"/>
          <w:kern w:val="0"/>
          <w:sz w:val="24"/>
          <w:szCs w:val="24"/>
          <w:lang w:val="en-US" w:eastAsia="zh-CN" w:bidi="ar"/>
        </w:rPr>
        <w:t>对安全控制测评的描述，使用工作单元方式组织。工作单元分为安全技术和安全管理两大类。安全技术测评包括：安全物理环境、安全通信网络、安全区域边界、安全计算环境、安全管理中心五个方面；安全管理测评包括：安全管理制度、安全管理机构、</w:t>
      </w:r>
      <w:r>
        <w:rPr>
          <w:rFonts w:ascii="仿宋" w:hAnsi="仿宋" w:eastAsia="仿宋" w:cs="仿宋"/>
          <w:color w:val="000000"/>
          <w:kern w:val="0"/>
          <w:sz w:val="24"/>
          <w:szCs w:val="24"/>
          <w:lang w:val="en-US" w:eastAsia="zh-CN" w:bidi="ar"/>
        </w:rPr>
        <w:t xml:space="preserve">安全管理人员、安全建设管理、安全运维管理五个方面。 </w:t>
      </w:r>
    </w:p>
    <w:p w14:paraId="59C30F00">
      <w:pPr>
        <w:keepNext w:val="0"/>
        <w:keepLines w:val="0"/>
        <w:widowControl/>
        <w:suppressLineNumbers w:val="0"/>
        <w:spacing w:line="360" w:lineRule="auto"/>
        <w:ind w:firstLine="420" w:firstLineChars="0"/>
        <w:jc w:val="left"/>
      </w:pPr>
      <w:r>
        <w:rPr>
          <w:rFonts w:hint="eastAsia" w:ascii="仿宋" w:hAnsi="仿宋" w:eastAsia="仿宋" w:cs="仿宋"/>
          <w:color w:val="000000"/>
          <w:kern w:val="0"/>
          <w:sz w:val="24"/>
          <w:szCs w:val="24"/>
          <w:lang w:val="en-US" w:eastAsia="zh-CN" w:bidi="ar"/>
        </w:rPr>
        <w:t xml:space="preserve">系统整体测评涉及到信息系统的整体拓扑、局部结构，也关系到信息系统的具体安全功能实现和安全控制配置，与特定信息系统的实际情况紧密相关，内容复杂且充满系统个性。因此，全面地给出系统整体测评要求的完整内容、具体实施方法和明确的结果判定方法是很困难的。测评人员应根据特定信息系统的具体情况，结合本标准要求，确定系统整体测评的具体内容，在安全控制测评的基础上，重点考虑安全控制间、层面间以及区域间的相互关联关系，测评安全控制间、层面间和区域间是否存在安全功能上的增强、补充和削弱作用以及信息系统整体结构安全性、不同信息系统之间整体安全性等。 </w:t>
      </w:r>
    </w:p>
    <w:p w14:paraId="7F32DF8C">
      <w:pPr>
        <w:keepNext w:val="0"/>
        <w:keepLines w:val="0"/>
        <w:widowControl/>
        <w:suppressLineNumbers w:val="0"/>
        <w:spacing w:line="360" w:lineRule="auto"/>
        <w:ind w:firstLine="420" w:firstLineChars="0"/>
        <w:jc w:val="left"/>
      </w:pPr>
      <w:r>
        <w:rPr>
          <w:rFonts w:hint="eastAsia" w:ascii="仿宋" w:hAnsi="仿宋" w:eastAsia="仿宋" w:cs="仿宋"/>
          <w:color w:val="000000"/>
          <w:kern w:val="0"/>
          <w:sz w:val="24"/>
          <w:szCs w:val="24"/>
          <w:lang w:val="en-US" w:eastAsia="zh-CN" w:bidi="ar"/>
        </w:rPr>
        <w:t>投标方根据国家对信息安全等级保护工作的相关法律和技术标准要求，结合本项目的系统保护等级开展实施与之相应的检查、访谈、测试工作。</w:t>
      </w:r>
    </w:p>
    <w:p w14:paraId="30454820">
      <w:pPr>
        <w:keepNext w:val="0"/>
        <w:keepLines w:val="0"/>
        <w:widowControl/>
        <w:numPr>
          <w:ilvl w:val="0"/>
          <w:numId w:val="1"/>
        </w:numPr>
        <w:suppressLineNumbers w:val="0"/>
        <w:spacing w:line="360" w:lineRule="auto"/>
        <w:jc w:val="left"/>
        <w:rPr>
          <w:rFonts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商务要求</w:t>
      </w:r>
    </w:p>
    <w:p w14:paraId="62713343">
      <w:pPr>
        <w:keepNext w:val="0"/>
        <w:keepLines w:val="0"/>
        <w:widowControl/>
        <w:numPr>
          <w:ilvl w:val="0"/>
          <w:numId w:val="0"/>
        </w:numPr>
        <w:suppressLineNumbers w:val="0"/>
        <w:spacing w:line="360" w:lineRule="auto"/>
        <w:ind w:firstLine="420" w:firstLineChars="0"/>
        <w:jc w:val="left"/>
        <w:rPr>
          <w:rFonts w:hint="default" w:ascii="仿宋" w:hAnsi="仿宋" w:eastAsia="仿宋" w:cs="仿宋"/>
          <w:b/>
          <w:bCs/>
          <w:color w:val="000000"/>
          <w:kern w:val="0"/>
          <w:sz w:val="28"/>
          <w:szCs w:val="28"/>
          <w:lang w:val="en-US" w:eastAsia="zh-CN" w:bidi="ar"/>
        </w:rPr>
      </w:pPr>
      <w:r>
        <w:rPr>
          <w:rFonts w:hint="eastAsia" w:ascii="仿宋" w:hAnsi="仿宋" w:eastAsia="仿宋" w:cs="仿宋"/>
          <w:color w:val="000000"/>
          <w:kern w:val="0"/>
          <w:sz w:val="24"/>
          <w:szCs w:val="24"/>
          <w:lang w:val="en-US" w:eastAsia="zh-CN" w:bidi="ar"/>
        </w:rPr>
        <w:t>本项目为网络云平台项目，投标方需要针对本项目特点提供全部业务解决方案及相关模块的报价，包括但不限于测评服务、安全等级要求所需的SSL、云防火墙等，本项目要求备案时间周期30个工作日。</w:t>
      </w:r>
    </w:p>
    <w:p w14:paraId="3B22A58A">
      <w:pPr>
        <w:keepNext w:val="0"/>
        <w:keepLines w:val="0"/>
        <w:widowControl/>
        <w:suppressLineNumbers w:val="0"/>
        <w:spacing w:line="360" w:lineRule="auto"/>
        <w:jc w:val="left"/>
      </w:pPr>
    </w:p>
    <w:p w14:paraId="7F9E745C">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14:paraId="109A577D">
      <w:pPr>
        <w:keepNext w:val="0"/>
        <w:keepLines w:val="0"/>
        <w:widowControl/>
        <w:numPr>
          <w:ilvl w:val="0"/>
          <w:numId w:val="0"/>
        </w:numPr>
        <w:suppressLineNumbers w:val="0"/>
        <w:spacing w:line="360" w:lineRule="auto"/>
        <w:jc w:val="left"/>
        <w:rPr>
          <w:rFonts w:ascii="仿宋" w:hAnsi="仿宋" w:eastAsia="仿宋" w:cs="仿宋"/>
          <w:b/>
          <w:bCs/>
          <w:color w:val="000000"/>
          <w:kern w:val="0"/>
          <w:sz w:val="28"/>
          <w:szCs w:val="28"/>
          <w:lang w:val="en-US" w:eastAsia="zh-CN" w:bidi="ar"/>
        </w:rPr>
      </w:pPr>
    </w:p>
    <w:p w14:paraId="03E8BF6C">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p>
    <w:p w14:paraId="107F201A">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5D071"/>
    <w:multiLevelType w:val="singleLevel"/>
    <w:tmpl w:val="4625D071"/>
    <w:lvl w:ilvl="0" w:tentative="0">
      <w:start w:val="2"/>
      <w:numFmt w:val="chineseCounting"/>
      <w:suff w:val="nothing"/>
      <w:lvlText w:val="%1、"/>
      <w:lvlJc w:val="left"/>
      <w:rPr>
        <w:rFonts w:hint="eastAsia"/>
      </w:rPr>
    </w:lvl>
  </w:abstractNum>
  <w:abstractNum w:abstractNumId="1">
    <w:nsid w:val="6FFD107E"/>
    <w:multiLevelType w:val="singleLevel"/>
    <w:tmpl w:val="6FFD107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WM1OTJhNmIxZTA1NmYxMjlkNzlhZThlZjAxNmUifQ=="/>
  </w:docVars>
  <w:rsids>
    <w:rsidRoot w:val="3A7C13F9"/>
    <w:rsid w:val="143635BB"/>
    <w:rsid w:val="3A7C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1785</Words>
  <Characters>1885</Characters>
  <Lines>0</Lines>
  <Paragraphs>0</Paragraphs>
  <TotalTime>4</TotalTime>
  <ScaleCrop>false</ScaleCrop>
  <LinksUpToDate>false</LinksUpToDate>
  <CharactersWithSpaces>1930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2024-08-12T08:22:00Z</dcterms:created>
  <dc:creator>kings丶viking</dc:creator>
  <cp:lastModifiedBy>为何物</cp:lastModifiedBy>
  <dcterms:modified xsi:type="dcterms:W3CDTF">2024-08-12T10:44:39Z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51EF35D2E3144C7B91B863C161C617AD_11</vt:lpwstr>
  </property>
</Properties>
</file>