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780"/>
        <w:gridCol w:w="1397"/>
        <w:gridCol w:w="1220"/>
        <w:gridCol w:w="1460"/>
        <w:gridCol w:w="500"/>
        <w:gridCol w:w="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嘉航锂电吹风机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KH-BL43265A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格力博锂电除草机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LMB474</w:t>
            </w:r>
          </w:p>
        </w:tc>
        <w:tc>
          <w:tcPr>
            <w:tcW w:w="12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color="auto" w:fill="FFFFFF"/>
          <w:lang w:val="en-US" w:eastAsia="zh-CN" w:bidi="ar"/>
        </w:rPr>
        <w:t>插入项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品牌不可替换，送货上门加调试，培训使用。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上传报价（加盖鲜章）、营业执照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E0F5F"/>
    <w:multiLevelType w:val="singleLevel"/>
    <w:tmpl w:val="3FDE0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47291"/>
    <w:rsid w:val="3ED47291"/>
    <w:rsid w:val="BBEE4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2024-12-09T17:35:00Z</dcterms:created>
  <dc:creator>lenovo</dc:creator>
  <cp:lastModifiedBy>lenovo</cp:lastModifiedBy>
  <dcterms:modified xsi:type="dcterms:W3CDTF">2024-12-09T09:46:46Z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E76D09C244B1B592064C56673A03B053</vt:lpwstr>
  </property>
</Properties>
</file>