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eastAsia="黑体"/>
          <w:b w:val="0"/>
          <w:sz w:val="32"/>
          <w:szCs w:val="32"/>
        </w:rPr>
      </w:pPr>
      <w:r>
        <w:rPr>
          <w:rFonts w:hint="eastAsia" w:eastAsia="黑体"/>
          <w:b w:val="0"/>
          <w:sz w:val="32"/>
          <w:szCs w:val="32"/>
        </w:rPr>
        <w:t>项目概述</w:t>
      </w:r>
    </w:p>
    <w:p>
      <w:pPr>
        <w:widowControl/>
        <w:adjustRightInd w:val="0"/>
        <w:snapToGrid w:val="0"/>
        <w:spacing w:line="576" w:lineRule="exact"/>
        <w:ind w:firstLine="640" w:firstLineChars="200"/>
        <w:rPr>
          <w:rFonts w:ascii="宋体" w:hAnsi="宋体" w:eastAsia="仿宋_GB2312" w:cs="宋体"/>
          <w:sz w:val="32"/>
          <w:szCs w:val="32"/>
        </w:rPr>
      </w:pPr>
      <w:r>
        <w:rPr>
          <w:rFonts w:hint="eastAsia" w:ascii="宋体" w:hAnsi="宋体" w:eastAsia="仿宋_GB2312"/>
          <w:sz w:val="32"/>
          <w:szCs w:val="32"/>
        </w:rPr>
        <w:t>采购人现有会议室长21米，宽15.7米，高3.56米，室内面积约330平方米。会议室外设置独立音控室，会议室主席台距音控室直线距离约30米。现有会议系统1套，由于使用年限长，设备及线路存在老化现象，造成系统整体性能下降、稳定性差、故障频繁，会议效果欠佳。本次计划采购更换会议设备一批（含安装调试），并对现有音视频线路进行全面检测维护，整体提升会议质量和效果，达到采购人使用需求。</w:t>
      </w:r>
    </w:p>
    <w:p>
      <w:pPr>
        <w:pStyle w:val="4"/>
        <w:numPr>
          <w:ilvl w:val="0"/>
          <w:numId w:val="2"/>
        </w:numPr>
        <w:tabs>
          <w:tab w:val="left" w:pos="1560"/>
        </w:tabs>
        <w:adjustRightInd w:val="0"/>
        <w:snapToGrid w:val="0"/>
        <w:spacing w:beforeLines="50" w:line="576" w:lineRule="exact"/>
        <w:ind w:left="1129"/>
        <w:rPr>
          <w:rFonts w:eastAsia="黑体"/>
          <w:b w:val="0"/>
          <w:sz w:val="32"/>
          <w:szCs w:val="32"/>
        </w:rPr>
      </w:pPr>
      <w:r>
        <w:rPr>
          <w:rFonts w:hint="eastAsia" w:eastAsia="黑体"/>
          <w:b w:val="0"/>
          <w:sz w:val="32"/>
          <w:szCs w:val="32"/>
        </w:rPr>
        <w:t>维修方案</w:t>
      </w:r>
    </w:p>
    <w:p>
      <w:pPr>
        <w:adjustRightInd w:val="0"/>
        <w:snapToGrid w:val="0"/>
        <w:spacing w:line="576" w:lineRule="exact"/>
        <w:ind w:firstLine="707" w:firstLineChars="221"/>
        <w:rPr>
          <w:rFonts w:ascii="宋体" w:hAnsi="宋体" w:eastAsia="仿宋_GB2312"/>
          <w:sz w:val="32"/>
          <w:szCs w:val="32"/>
        </w:rPr>
      </w:pPr>
      <w:r>
        <w:rPr>
          <w:rFonts w:hint="eastAsia" w:ascii="宋体" w:hAnsi="宋体" w:eastAsia="仿宋_GB2312"/>
          <w:sz w:val="32"/>
          <w:szCs w:val="32"/>
        </w:rPr>
        <w:t>本着利旧节约的原则，本次计划：</w:t>
      </w:r>
    </w:p>
    <w:p>
      <w:pPr>
        <w:pStyle w:val="36"/>
        <w:numPr>
          <w:ilvl w:val="0"/>
          <w:numId w:val="3"/>
        </w:numPr>
        <w:adjustRightInd w:val="0"/>
        <w:snapToGrid w:val="0"/>
        <w:spacing w:line="576" w:lineRule="exact"/>
        <w:ind w:left="0" w:firstLine="707" w:firstLineChars="0"/>
        <w:rPr>
          <w:rFonts w:ascii="宋体" w:hAnsi="宋体" w:eastAsia="仿宋_GB2312"/>
          <w:sz w:val="32"/>
          <w:szCs w:val="32"/>
        </w:rPr>
      </w:pPr>
      <w:r>
        <w:rPr>
          <w:rFonts w:hint="eastAsia" w:ascii="宋体" w:hAnsi="宋体" w:eastAsia="仿宋_GB2312"/>
          <w:sz w:val="32"/>
          <w:szCs w:val="32"/>
        </w:rPr>
        <w:t>对原有供配电及音视频线路利旧维修，根据现场情况更换存在老化故障及干扰的线路，提升音视频传输质量。</w:t>
      </w:r>
    </w:p>
    <w:p>
      <w:pPr>
        <w:pStyle w:val="36"/>
        <w:numPr>
          <w:ilvl w:val="0"/>
          <w:numId w:val="3"/>
        </w:numPr>
        <w:adjustRightInd w:val="0"/>
        <w:snapToGrid w:val="0"/>
        <w:spacing w:line="576" w:lineRule="exact"/>
        <w:ind w:left="0" w:firstLine="707" w:firstLineChars="0"/>
        <w:rPr>
          <w:rFonts w:ascii="宋体" w:hAnsi="宋体" w:eastAsia="仿宋_GB2312"/>
          <w:sz w:val="32"/>
          <w:szCs w:val="32"/>
        </w:rPr>
      </w:pPr>
      <w:r>
        <w:rPr>
          <w:rFonts w:hint="eastAsia" w:ascii="宋体" w:hAnsi="宋体" w:eastAsia="仿宋_GB2312"/>
          <w:sz w:val="32"/>
          <w:szCs w:val="32"/>
        </w:rPr>
        <w:t>成套更换音响、话筒、功放、调音台、反馈抑制器等会议设备，详见《采购清单及技术参数表》。</w:t>
      </w:r>
    </w:p>
    <w:p>
      <w:pPr>
        <w:pStyle w:val="36"/>
        <w:numPr>
          <w:ilvl w:val="0"/>
          <w:numId w:val="3"/>
        </w:numPr>
        <w:adjustRightInd w:val="0"/>
        <w:snapToGrid w:val="0"/>
        <w:spacing w:line="576" w:lineRule="exact"/>
        <w:ind w:left="0" w:firstLine="707" w:firstLineChars="0"/>
        <w:rPr>
          <w:rFonts w:ascii="宋体" w:hAnsi="宋体" w:eastAsia="仿宋_GB2312"/>
          <w:sz w:val="32"/>
          <w:szCs w:val="32"/>
        </w:rPr>
      </w:pPr>
      <w:r>
        <w:rPr>
          <w:rFonts w:hint="eastAsia" w:ascii="宋体" w:hAnsi="宋体" w:eastAsia="仿宋_GB2312"/>
          <w:sz w:val="32"/>
          <w:szCs w:val="32"/>
        </w:rPr>
        <w:t>安装方式：在主席台两侧各安装1只会议主音箱，主席台前方吊顶嵌入式安装4只返听音箱，听众区天花板安装8支吸顶音箱，以达到声场均匀、清晰，其中：返听音箱具备智能自动翻转隐藏功能，不破坏整体装修效果。</w:t>
      </w:r>
    </w:p>
    <w:p>
      <w:pPr>
        <w:pStyle w:val="36"/>
        <w:numPr>
          <w:ilvl w:val="0"/>
          <w:numId w:val="3"/>
        </w:numPr>
        <w:adjustRightInd w:val="0"/>
        <w:snapToGrid w:val="0"/>
        <w:spacing w:line="576" w:lineRule="exact"/>
        <w:ind w:left="0" w:firstLine="707" w:firstLineChars="0"/>
        <w:rPr>
          <w:rFonts w:ascii="宋体" w:hAnsi="宋体" w:eastAsia="仿宋_GB2312"/>
          <w:sz w:val="32"/>
          <w:szCs w:val="32"/>
        </w:rPr>
      </w:pPr>
      <w:r>
        <w:rPr>
          <w:rFonts w:hint="eastAsia" w:ascii="宋体" w:hAnsi="宋体" w:eastAsia="仿宋_GB2312"/>
          <w:sz w:val="32"/>
          <w:szCs w:val="32"/>
        </w:rPr>
        <w:t>除音箱外的其他会议设备集中在音控室内机柜安装，同步规范绑扎各类线缆，做到管理规范有序。</w:t>
      </w:r>
    </w:p>
    <w:p>
      <w:pPr>
        <w:pStyle w:val="4"/>
        <w:numPr>
          <w:ilvl w:val="0"/>
          <w:numId w:val="2"/>
        </w:numPr>
        <w:tabs>
          <w:tab w:val="left" w:pos="1560"/>
        </w:tabs>
        <w:adjustRightInd w:val="0"/>
        <w:snapToGrid w:val="0"/>
        <w:spacing w:beforeLines="50" w:line="576" w:lineRule="exact"/>
        <w:ind w:left="1129"/>
        <w:rPr>
          <w:rFonts w:eastAsia="黑体"/>
          <w:b w:val="0"/>
          <w:sz w:val="32"/>
          <w:szCs w:val="32"/>
        </w:rPr>
      </w:pPr>
      <w:r>
        <w:rPr>
          <w:rFonts w:hint="eastAsia" w:eastAsia="黑体"/>
          <w:b w:val="0"/>
          <w:sz w:val="32"/>
          <w:szCs w:val="32"/>
        </w:rPr>
        <w:t>采购清单及技术参数要求</w:t>
      </w:r>
    </w:p>
    <w:p>
      <w:pPr>
        <w:pStyle w:val="36"/>
        <w:adjustRightInd w:val="0"/>
        <w:snapToGrid w:val="0"/>
        <w:spacing w:line="576" w:lineRule="exact"/>
        <w:ind w:firstLine="704" w:firstLineChars="220"/>
        <w:rPr>
          <w:rFonts w:ascii="宋体" w:hAnsi="宋体" w:eastAsia="仿宋_GB2312"/>
          <w:sz w:val="32"/>
          <w:szCs w:val="32"/>
        </w:rPr>
      </w:pPr>
      <w:r>
        <w:rPr>
          <w:rFonts w:hint="eastAsia" w:ascii="宋体" w:hAnsi="宋体" w:eastAsia="仿宋_GB2312"/>
          <w:sz w:val="32"/>
          <w:szCs w:val="32"/>
        </w:rPr>
        <w:t>针对本次维修服务，供应商提供的货物及服务必须满足以下要求：</w:t>
      </w:r>
    </w:p>
    <w:tbl>
      <w:tblPr>
        <w:tblStyle w:val="30"/>
        <w:tblW w:w="91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659"/>
        <w:gridCol w:w="5245"/>
        <w:gridCol w:w="85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720" w:type="dxa"/>
            <w:shd w:val="clear" w:color="auto" w:fill="auto"/>
            <w:noWrap/>
            <w:vAlign w:val="center"/>
          </w:tcPr>
          <w:p>
            <w:pPr>
              <w:widowControl/>
              <w:adjustRightInd w:val="0"/>
              <w:snapToGrid w:val="0"/>
              <w:spacing w:line="300" w:lineRule="auto"/>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659" w:type="dxa"/>
            <w:shd w:val="clear" w:color="auto" w:fill="auto"/>
            <w:noWrap/>
            <w:vAlign w:val="center"/>
          </w:tcPr>
          <w:p>
            <w:pPr>
              <w:widowControl/>
              <w:adjustRightInd w:val="0"/>
              <w:snapToGrid w:val="0"/>
              <w:spacing w:line="300" w:lineRule="auto"/>
              <w:jc w:val="center"/>
              <w:rPr>
                <w:rFonts w:ascii="宋体" w:hAnsi="宋体" w:eastAsia="宋体" w:cs="宋体"/>
                <w:b/>
                <w:bCs/>
                <w:kern w:val="0"/>
                <w:szCs w:val="21"/>
              </w:rPr>
            </w:pPr>
            <w:r>
              <w:rPr>
                <w:rFonts w:hint="eastAsia" w:ascii="宋体" w:hAnsi="宋体" w:eastAsia="宋体" w:cs="宋体"/>
                <w:b/>
                <w:bCs/>
                <w:kern w:val="0"/>
                <w:szCs w:val="21"/>
              </w:rPr>
              <w:t>名称</w:t>
            </w:r>
          </w:p>
        </w:tc>
        <w:tc>
          <w:tcPr>
            <w:tcW w:w="5245" w:type="dxa"/>
            <w:shd w:val="clear" w:color="auto" w:fill="auto"/>
            <w:noWrap/>
            <w:vAlign w:val="center"/>
          </w:tcPr>
          <w:p>
            <w:pPr>
              <w:widowControl/>
              <w:tabs>
                <w:tab w:val="left" w:pos="4995"/>
              </w:tabs>
              <w:adjustRightInd w:val="0"/>
              <w:snapToGrid w:val="0"/>
              <w:spacing w:line="300" w:lineRule="auto"/>
              <w:jc w:val="center"/>
              <w:rPr>
                <w:rFonts w:ascii="宋体" w:hAnsi="宋体" w:eastAsia="宋体" w:cs="宋体"/>
                <w:b/>
                <w:bCs/>
                <w:kern w:val="0"/>
                <w:szCs w:val="21"/>
              </w:rPr>
            </w:pPr>
            <w:r>
              <w:rPr>
                <w:rFonts w:hint="eastAsia" w:ascii="宋体" w:hAnsi="宋体" w:eastAsia="宋体" w:cs="宋体"/>
                <w:b/>
                <w:bCs/>
                <w:kern w:val="0"/>
                <w:szCs w:val="21"/>
              </w:rPr>
              <w:t>技术参数要求</w:t>
            </w:r>
          </w:p>
        </w:tc>
        <w:tc>
          <w:tcPr>
            <w:tcW w:w="850" w:type="dxa"/>
            <w:shd w:val="clear" w:color="auto" w:fill="auto"/>
            <w:noWrap/>
            <w:vAlign w:val="center"/>
          </w:tcPr>
          <w:p>
            <w:pPr>
              <w:widowControl/>
              <w:adjustRightInd w:val="0"/>
              <w:snapToGrid w:val="0"/>
              <w:spacing w:line="300" w:lineRule="auto"/>
              <w:jc w:val="center"/>
              <w:rPr>
                <w:rFonts w:ascii="宋体" w:hAnsi="宋体" w:eastAsia="宋体" w:cs="宋体"/>
                <w:b/>
                <w:bCs/>
                <w:kern w:val="0"/>
                <w:szCs w:val="21"/>
              </w:rPr>
            </w:pPr>
            <w:r>
              <w:rPr>
                <w:rFonts w:hint="eastAsia" w:ascii="宋体" w:hAnsi="宋体" w:eastAsia="宋体" w:cs="宋体"/>
                <w:b/>
                <w:bCs/>
                <w:kern w:val="0"/>
                <w:szCs w:val="21"/>
              </w:rPr>
              <w:t>单位</w:t>
            </w:r>
          </w:p>
        </w:tc>
        <w:tc>
          <w:tcPr>
            <w:tcW w:w="709" w:type="dxa"/>
            <w:shd w:val="clear" w:color="auto" w:fill="auto"/>
            <w:noWrap/>
            <w:vAlign w:val="center"/>
          </w:tcPr>
          <w:p>
            <w:pPr>
              <w:widowControl/>
              <w:adjustRightInd w:val="0"/>
              <w:snapToGrid w:val="0"/>
              <w:spacing w:line="300" w:lineRule="auto"/>
              <w:jc w:val="center"/>
              <w:rPr>
                <w:rFonts w:ascii="宋体" w:hAnsi="宋体" w:eastAsia="宋体" w:cs="宋体"/>
                <w:b/>
                <w:bCs/>
                <w:kern w:val="0"/>
                <w:szCs w:val="21"/>
              </w:rPr>
            </w:pPr>
            <w:r>
              <w:rPr>
                <w:rFonts w:hint="eastAsia" w:ascii="宋体" w:hAnsi="宋体" w:eastAsia="宋体" w:cs="宋体"/>
                <w:b/>
                <w:bCs/>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8" w:hRule="atLeast"/>
        </w:trPr>
        <w:tc>
          <w:tcPr>
            <w:tcW w:w="72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1</w:t>
            </w:r>
          </w:p>
        </w:tc>
        <w:tc>
          <w:tcPr>
            <w:tcW w:w="1659"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主音箱</w:t>
            </w:r>
          </w:p>
        </w:tc>
        <w:tc>
          <w:tcPr>
            <w:tcW w:w="5245" w:type="dxa"/>
            <w:shd w:val="clear" w:color="auto" w:fill="auto"/>
            <w:vAlign w:val="center"/>
          </w:tcPr>
          <w:p>
            <w:pPr>
              <w:widowControl/>
              <w:adjustRightInd w:val="0"/>
              <w:snapToGrid w:val="0"/>
              <w:spacing w:line="300" w:lineRule="auto"/>
              <w:jc w:val="left"/>
              <w:rPr>
                <w:rFonts w:ascii="宋体" w:hAnsi="宋体" w:eastAsia="宋体" w:cs="宋体"/>
                <w:b/>
                <w:bCs/>
                <w:kern w:val="0"/>
                <w:szCs w:val="21"/>
              </w:rPr>
            </w:pPr>
            <w:r>
              <w:rPr>
                <w:rFonts w:hint="eastAsia" w:ascii="宋体" w:hAnsi="宋体" w:eastAsia="宋体" w:cs="宋体"/>
                <w:b/>
                <w:bCs/>
                <w:kern w:val="0"/>
                <w:szCs w:val="21"/>
              </w:rPr>
              <w:t>（一）类型：12英寸，2分频，低频反射式音箱。</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b/>
                <w:bCs/>
                <w:kern w:val="0"/>
                <w:szCs w:val="21"/>
              </w:rPr>
              <w:t>（二）满足以下技术参数及功能要求：</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（1）箱体夹板厚度≥15mm；</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（2）低音单元：1个JBL 262H-1；</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（3）高音单元：1个JBL 2408H-1；</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（4）频率范围：71 Hz - 20 KHz(-10 dB)；</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（5）频率响应：90 Hz - 20 KHz(±3 dB)；</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（6）灵敏度≥97dB(1w/1m)；</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（7）额定阻抗：8Ω；</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（8）额定输入功率≥350W（连续）/700W（音乐信号）/1400W（峰值）；</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（9）覆盖角≥70°（水平）×60°(垂直)；</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（10）安装方式：主席台两侧墙面安装。</w:t>
            </w:r>
          </w:p>
        </w:tc>
        <w:tc>
          <w:tcPr>
            <w:tcW w:w="85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只</w:t>
            </w:r>
          </w:p>
        </w:tc>
        <w:tc>
          <w:tcPr>
            <w:tcW w:w="709"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8" w:hRule="atLeast"/>
        </w:trPr>
        <w:tc>
          <w:tcPr>
            <w:tcW w:w="72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2</w:t>
            </w:r>
          </w:p>
        </w:tc>
        <w:tc>
          <w:tcPr>
            <w:tcW w:w="1659" w:type="dxa"/>
            <w:shd w:val="clear" w:color="auto" w:fill="auto"/>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嵌入式隐形智能音箱</w:t>
            </w:r>
          </w:p>
        </w:tc>
        <w:tc>
          <w:tcPr>
            <w:tcW w:w="5245" w:type="dxa"/>
            <w:shd w:val="clear" w:color="auto" w:fill="auto"/>
            <w:vAlign w:val="center"/>
          </w:tcPr>
          <w:p>
            <w:pPr>
              <w:widowControl/>
              <w:adjustRightInd w:val="0"/>
              <w:snapToGrid w:val="0"/>
              <w:spacing w:line="300" w:lineRule="auto"/>
              <w:jc w:val="left"/>
              <w:rPr>
                <w:rFonts w:ascii="宋体" w:hAnsi="宋体" w:eastAsia="宋体" w:cs="宋体"/>
                <w:b/>
                <w:bCs/>
                <w:kern w:val="0"/>
                <w:szCs w:val="21"/>
              </w:rPr>
            </w:pPr>
            <w:r>
              <w:rPr>
                <w:rFonts w:hint="eastAsia" w:ascii="宋体" w:hAnsi="宋体" w:eastAsia="宋体" w:cs="宋体"/>
                <w:b/>
                <w:bCs/>
                <w:kern w:val="0"/>
                <w:szCs w:val="21"/>
              </w:rPr>
              <w:t>（一）类型：10英寸同轴嵌入式隐形智能音箱。</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b/>
                <w:bCs/>
                <w:kern w:val="0"/>
                <w:szCs w:val="21"/>
              </w:rPr>
              <w:t>（二）满足以下技术参数及功能要求：</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（1）高音单元：1"；</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（2）低音单元：10"；</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（3）阻抗：8Ω；</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（4）额定功率≥180W，峰值功率≥350W；</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（5）灵敏度≥88dB；</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（6）频率范围：70-20000Hz；</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（7）支持自动旋转，不低于0-65°多角度定位。支持预设喇叭翻转角度，开启音频后音箱可自动下翻到预设角度，音频关闭后音箱自动复位。</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（8）支持遥控器控制、485控制、复位开关控制等多种控制方式，预留WiFi芯片控制；</w:t>
            </w:r>
          </w:p>
          <w:p>
            <w:pPr>
              <w:widowControl/>
              <w:adjustRightInd w:val="0"/>
              <w:snapToGrid w:val="0"/>
              <w:spacing w:line="300" w:lineRule="auto"/>
              <w:jc w:val="left"/>
              <w:rPr>
                <w:rFonts w:ascii="宋体" w:hAnsi="宋体"/>
              </w:rPr>
            </w:pPr>
            <w:r>
              <w:rPr>
                <w:rFonts w:hint="eastAsia" w:ascii="宋体" w:hAnsi="宋体" w:eastAsia="宋体" w:cs="宋体"/>
                <w:kern w:val="0"/>
                <w:szCs w:val="21"/>
              </w:rPr>
              <w:t>（9）安装方式：主席台前上方吊顶隐形安装。</w:t>
            </w:r>
          </w:p>
        </w:tc>
        <w:tc>
          <w:tcPr>
            <w:tcW w:w="850" w:type="dxa"/>
            <w:shd w:val="clear" w:color="auto" w:fill="auto"/>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只</w:t>
            </w:r>
          </w:p>
        </w:tc>
        <w:tc>
          <w:tcPr>
            <w:tcW w:w="709"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4" w:hRule="atLeast"/>
        </w:trPr>
        <w:tc>
          <w:tcPr>
            <w:tcW w:w="72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3</w:t>
            </w:r>
          </w:p>
        </w:tc>
        <w:tc>
          <w:tcPr>
            <w:tcW w:w="1659"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会议吸顶音箱</w:t>
            </w:r>
          </w:p>
        </w:tc>
        <w:tc>
          <w:tcPr>
            <w:tcW w:w="5245" w:type="dxa"/>
            <w:shd w:val="clear" w:color="auto" w:fill="auto"/>
            <w:vAlign w:val="center"/>
          </w:tcPr>
          <w:p>
            <w:pPr>
              <w:widowControl/>
              <w:adjustRightInd w:val="0"/>
              <w:snapToGrid w:val="0"/>
              <w:spacing w:line="300" w:lineRule="auto"/>
              <w:jc w:val="left"/>
              <w:rPr>
                <w:rFonts w:ascii="宋体" w:hAnsi="宋体" w:eastAsia="宋体" w:cs="宋体"/>
                <w:b/>
                <w:bCs/>
                <w:kern w:val="0"/>
                <w:szCs w:val="21"/>
              </w:rPr>
            </w:pPr>
            <w:r>
              <w:rPr>
                <w:rFonts w:hint="eastAsia" w:ascii="宋体" w:hAnsi="宋体" w:eastAsia="宋体" w:cs="宋体"/>
                <w:b/>
                <w:bCs/>
                <w:kern w:val="0"/>
                <w:szCs w:val="21"/>
              </w:rPr>
              <w:t>（一）类型：2分频，会议吸顶音箱。</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b/>
                <w:bCs/>
                <w:kern w:val="0"/>
                <w:szCs w:val="21"/>
              </w:rPr>
              <w:t>（二）满足以下技术参数及功能要求：</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（1）阻抗：8Ω；</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（2）额定功率≥120W；</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（3）频率响应：45-20KHz；</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（4）灵敏度≥90dB 2.83V@1m；</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（5）低频驱动尺寸和材料：8.5"(216mm)彩色编织玻纤鼓纸，高频驱动尺寸和材料：1"(25.4mm)钛音膜；</w:t>
            </w:r>
          </w:p>
          <w:p>
            <w:pPr>
              <w:widowControl/>
              <w:adjustRightInd w:val="0"/>
              <w:snapToGrid w:val="0"/>
              <w:spacing w:line="300" w:lineRule="auto"/>
              <w:jc w:val="left"/>
              <w:rPr>
                <w:rFonts w:ascii="宋体" w:hAnsi="宋体"/>
              </w:rPr>
            </w:pPr>
            <w:r>
              <w:rPr>
                <w:rFonts w:hint="eastAsia" w:ascii="宋体" w:hAnsi="宋体" w:eastAsia="宋体" w:cs="宋体"/>
                <w:kern w:val="0"/>
                <w:szCs w:val="21"/>
              </w:rPr>
              <w:t>（6）安装方式：参会席吊顶嵌入安装。</w:t>
            </w:r>
          </w:p>
        </w:tc>
        <w:tc>
          <w:tcPr>
            <w:tcW w:w="85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只</w:t>
            </w:r>
          </w:p>
        </w:tc>
        <w:tc>
          <w:tcPr>
            <w:tcW w:w="709"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0" w:hRule="atLeast"/>
        </w:trPr>
        <w:tc>
          <w:tcPr>
            <w:tcW w:w="72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4</w:t>
            </w:r>
          </w:p>
        </w:tc>
        <w:tc>
          <w:tcPr>
            <w:tcW w:w="1659"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主音箱功放</w:t>
            </w:r>
          </w:p>
        </w:tc>
        <w:tc>
          <w:tcPr>
            <w:tcW w:w="5245" w:type="dxa"/>
            <w:shd w:val="clear" w:color="auto" w:fill="auto"/>
            <w:vAlign w:val="center"/>
          </w:tcPr>
          <w:p>
            <w:pPr>
              <w:widowControl/>
              <w:adjustRightInd w:val="0"/>
              <w:snapToGrid w:val="0"/>
              <w:spacing w:line="300" w:lineRule="auto"/>
              <w:jc w:val="left"/>
              <w:rPr>
                <w:rFonts w:ascii="宋体" w:hAnsi="宋体" w:eastAsia="宋体" w:cs="宋体"/>
                <w:b/>
                <w:bCs/>
                <w:kern w:val="0"/>
                <w:szCs w:val="21"/>
              </w:rPr>
            </w:pPr>
            <w:r>
              <w:rPr>
                <w:rFonts w:hint="eastAsia" w:ascii="宋体" w:hAnsi="宋体" w:eastAsia="宋体" w:cs="宋体"/>
                <w:b/>
                <w:bCs/>
                <w:kern w:val="0"/>
                <w:szCs w:val="21"/>
              </w:rPr>
              <w:t>（一）类型：主音箱功放。</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b/>
                <w:bCs/>
                <w:kern w:val="0"/>
                <w:szCs w:val="21"/>
              </w:rPr>
              <w:t>（二）满足以下技术参数及功能要求：</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（1）功率：8Ω立体声功率≥2×1000W，4Ω立体声功率≥2×1500W，桥接8Ω功率≥1×3000W；</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（2）信噪比≥98dB，阻尼系数≥1000@8Ω，总谐波失真≤0.1%(20Hz-20kHz 1W)；</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（3）输入阻抗：20KΩ平衡；</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（4）频率响应：20Hz-34KHz(+0/-0.3dB,1W/8Ω)；</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（5）电源规格：交流180-240V，50-60Hz；</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（6）支持无级调速风扇冷却，支持短路、断路、直流电压、过热、过压、射频、超低频保护；</w:t>
            </w:r>
          </w:p>
          <w:p>
            <w:pPr>
              <w:widowControl/>
              <w:adjustRightInd w:val="0"/>
              <w:snapToGrid w:val="0"/>
              <w:spacing w:line="300" w:lineRule="auto"/>
              <w:jc w:val="left"/>
              <w:rPr>
                <w:rFonts w:ascii="宋体" w:hAnsi="宋体"/>
              </w:rPr>
            </w:pPr>
            <w:r>
              <w:rPr>
                <w:rFonts w:hint="eastAsia" w:ascii="宋体" w:hAnsi="宋体" w:eastAsia="宋体" w:cs="宋体"/>
                <w:kern w:val="0"/>
                <w:szCs w:val="21"/>
              </w:rPr>
              <w:t>（7）安装方式：19英寸标准机柜安装。</w:t>
            </w:r>
          </w:p>
        </w:tc>
        <w:tc>
          <w:tcPr>
            <w:tcW w:w="85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台</w:t>
            </w:r>
          </w:p>
        </w:tc>
        <w:tc>
          <w:tcPr>
            <w:tcW w:w="709"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2" w:hRule="atLeast"/>
        </w:trPr>
        <w:tc>
          <w:tcPr>
            <w:tcW w:w="72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5</w:t>
            </w:r>
          </w:p>
        </w:tc>
        <w:tc>
          <w:tcPr>
            <w:tcW w:w="1659"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补声音箱功放</w:t>
            </w:r>
          </w:p>
        </w:tc>
        <w:tc>
          <w:tcPr>
            <w:tcW w:w="5245" w:type="dxa"/>
            <w:shd w:val="clear" w:color="auto" w:fill="auto"/>
            <w:vAlign w:val="center"/>
          </w:tcPr>
          <w:p>
            <w:pPr>
              <w:widowControl/>
              <w:adjustRightInd w:val="0"/>
              <w:snapToGrid w:val="0"/>
              <w:spacing w:line="300" w:lineRule="auto"/>
              <w:jc w:val="left"/>
              <w:rPr>
                <w:rFonts w:ascii="宋体" w:hAnsi="宋体" w:eastAsia="宋体" w:cs="宋体"/>
                <w:b/>
                <w:bCs/>
                <w:kern w:val="0"/>
                <w:szCs w:val="21"/>
              </w:rPr>
            </w:pPr>
            <w:r>
              <w:rPr>
                <w:rFonts w:hint="eastAsia" w:ascii="宋体" w:hAnsi="宋体" w:eastAsia="宋体" w:cs="宋体"/>
                <w:b/>
                <w:bCs/>
                <w:kern w:val="0"/>
                <w:szCs w:val="21"/>
              </w:rPr>
              <w:t>（一）类型：补声音箱功放。</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b/>
                <w:bCs/>
                <w:kern w:val="0"/>
                <w:szCs w:val="21"/>
              </w:rPr>
              <w:t>（二）满足以下技术参数及功能要求：</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（1）功率：8Ω立体声功率≥2×600W，4Ω立体声功率≥2×1300W，桥接8Ω功率≥1×1900W；</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（2）信噪比≥103dB，阻尼系数≥600@8Ω，总谐波失真≤0.5%(20 Hz-20 kHz 1W)；</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（3）输入阻抗：10KΩ平衡；</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（4）频率响应：20Hz-34KHz(+0/-1dB,1W/8Ω)；</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（5）电源规格：交流180-240V，50-60Hz；</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（6）支持无级调速风扇冷却，支持短路、断路、直流电压、过热、过压、射频、超低频保护；</w:t>
            </w:r>
          </w:p>
          <w:p>
            <w:pPr>
              <w:pStyle w:val="2"/>
              <w:adjustRightInd w:val="0"/>
              <w:snapToGrid w:val="0"/>
              <w:spacing w:line="300" w:lineRule="auto"/>
              <w:rPr>
                <w:rFonts w:ascii="宋体" w:hAnsi="宋体"/>
              </w:rPr>
            </w:pPr>
            <w:r>
              <w:rPr>
                <w:rFonts w:hint="eastAsia" w:ascii="宋体" w:hAnsi="宋体" w:cs="宋体"/>
                <w:kern w:val="0"/>
                <w:sz w:val="21"/>
                <w:szCs w:val="21"/>
              </w:rPr>
              <w:t>（7）安装方式：19英寸标准机柜安装。</w:t>
            </w:r>
          </w:p>
        </w:tc>
        <w:tc>
          <w:tcPr>
            <w:tcW w:w="85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台</w:t>
            </w:r>
          </w:p>
        </w:tc>
        <w:tc>
          <w:tcPr>
            <w:tcW w:w="709"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8" w:hRule="atLeast"/>
        </w:trPr>
        <w:tc>
          <w:tcPr>
            <w:tcW w:w="72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6</w:t>
            </w:r>
          </w:p>
        </w:tc>
        <w:tc>
          <w:tcPr>
            <w:tcW w:w="1659"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调音台</w:t>
            </w:r>
          </w:p>
        </w:tc>
        <w:tc>
          <w:tcPr>
            <w:tcW w:w="5245" w:type="dxa"/>
            <w:shd w:val="clear" w:color="auto" w:fill="auto"/>
            <w:vAlign w:val="center"/>
          </w:tcPr>
          <w:p>
            <w:pPr>
              <w:widowControl/>
              <w:adjustRightInd w:val="0"/>
              <w:snapToGrid w:val="0"/>
              <w:spacing w:line="300" w:lineRule="auto"/>
              <w:jc w:val="left"/>
              <w:rPr>
                <w:rFonts w:ascii="宋体" w:hAnsi="宋体" w:eastAsia="宋体" w:cs="宋体"/>
                <w:b/>
                <w:bCs/>
                <w:kern w:val="0"/>
                <w:szCs w:val="21"/>
              </w:rPr>
            </w:pPr>
            <w:r>
              <w:rPr>
                <w:rFonts w:hint="eastAsia" w:ascii="宋体" w:hAnsi="宋体" w:eastAsia="宋体" w:cs="宋体"/>
                <w:b/>
                <w:bCs/>
                <w:kern w:val="0"/>
                <w:szCs w:val="21"/>
              </w:rPr>
              <w:t>（一）类型：12路调音台。</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b/>
                <w:bCs/>
                <w:kern w:val="0"/>
                <w:szCs w:val="21"/>
              </w:rPr>
              <w:t>（二）满足以下技术参数及功能要求：</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（1）输入声道：12路单声道和1组RCA立体声道输入，每通道带静音开关功能键；</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（2）具备通道3段均衡，内置16段延时效果器；</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（3）具备MP3独立播放通道，带USB接口、录音功能、蓝牙连接功能；</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（4）具备60MM行程高分析度推子，高精度三色精确电平柱；</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（5）电源：专业+48v幻像电源，内部全局供电；</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（6）安装方式：19英寸标准机柜安装。。</w:t>
            </w:r>
          </w:p>
        </w:tc>
        <w:tc>
          <w:tcPr>
            <w:tcW w:w="85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台</w:t>
            </w:r>
          </w:p>
        </w:tc>
        <w:tc>
          <w:tcPr>
            <w:tcW w:w="709"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trPr>
        <w:tc>
          <w:tcPr>
            <w:tcW w:w="72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7</w:t>
            </w:r>
          </w:p>
        </w:tc>
        <w:tc>
          <w:tcPr>
            <w:tcW w:w="1659" w:type="dxa"/>
            <w:shd w:val="clear" w:color="auto" w:fill="auto"/>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反馈抑制器</w:t>
            </w:r>
          </w:p>
        </w:tc>
        <w:tc>
          <w:tcPr>
            <w:tcW w:w="5245" w:type="dxa"/>
            <w:shd w:val="clear" w:color="auto" w:fill="auto"/>
            <w:vAlign w:val="center"/>
          </w:tcPr>
          <w:p>
            <w:pPr>
              <w:widowControl/>
              <w:adjustRightInd w:val="0"/>
              <w:snapToGrid w:val="0"/>
              <w:spacing w:line="300" w:lineRule="auto"/>
              <w:jc w:val="left"/>
              <w:rPr>
                <w:rFonts w:ascii="宋体" w:hAnsi="宋体" w:eastAsia="宋体" w:cs="宋体"/>
                <w:b/>
                <w:bCs/>
                <w:kern w:val="0"/>
                <w:szCs w:val="21"/>
              </w:rPr>
            </w:pPr>
            <w:r>
              <w:rPr>
                <w:rFonts w:hint="eastAsia" w:ascii="宋体" w:hAnsi="宋体" w:eastAsia="宋体" w:cs="宋体"/>
                <w:b/>
                <w:bCs/>
                <w:kern w:val="0"/>
                <w:szCs w:val="21"/>
              </w:rPr>
              <w:t>（一）类型：全自动反馈抑制器。</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b/>
                <w:bCs/>
                <w:kern w:val="0"/>
                <w:szCs w:val="21"/>
              </w:rPr>
              <w:t>（二）满足以下技术参数及功能要求：</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（1）自适应全频带反馈抑制，内置高速浮点数字信号处理器和自适应反馈（AFC）抑制算法；</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（2）具备无失真动态噪音消除功能，噪声抑制比：18dB；</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（3）采样率：48Khz，频率范围：40Hz-20kHz；</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（4）最大模拟输入输出：1V Vpp；</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（5）标准XLR输入接口≥4路；</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（6）支持48V电源供电，具备模拟输入电平过载指示；</w:t>
            </w:r>
          </w:p>
          <w:p>
            <w:pPr>
              <w:widowControl/>
              <w:adjustRightInd w:val="0"/>
              <w:snapToGrid w:val="0"/>
              <w:spacing w:line="300" w:lineRule="auto"/>
              <w:jc w:val="left"/>
              <w:rPr>
                <w:rFonts w:ascii="宋体" w:hAnsi="宋体"/>
              </w:rPr>
            </w:pPr>
            <w:r>
              <w:rPr>
                <w:rFonts w:hint="eastAsia" w:ascii="宋体" w:hAnsi="宋体" w:eastAsia="宋体" w:cs="宋体"/>
                <w:kern w:val="0"/>
                <w:szCs w:val="21"/>
              </w:rPr>
              <w:t>（7）安装方式：19英寸标准机柜安装。</w:t>
            </w:r>
          </w:p>
        </w:tc>
        <w:tc>
          <w:tcPr>
            <w:tcW w:w="850" w:type="dxa"/>
            <w:shd w:val="clear" w:color="auto" w:fill="auto"/>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台</w:t>
            </w:r>
          </w:p>
        </w:tc>
        <w:tc>
          <w:tcPr>
            <w:tcW w:w="709" w:type="dxa"/>
            <w:shd w:val="clear" w:color="auto" w:fill="auto"/>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0" w:hRule="atLeast"/>
        </w:trPr>
        <w:tc>
          <w:tcPr>
            <w:tcW w:w="72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8</w:t>
            </w:r>
          </w:p>
        </w:tc>
        <w:tc>
          <w:tcPr>
            <w:tcW w:w="1659" w:type="dxa"/>
            <w:shd w:val="clear" w:color="auto" w:fill="auto"/>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手拉手会议话筒</w:t>
            </w:r>
          </w:p>
        </w:tc>
        <w:tc>
          <w:tcPr>
            <w:tcW w:w="5245" w:type="dxa"/>
            <w:shd w:val="clear" w:color="auto" w:fill="auto"/>
            <w:vAlign w:val="center"/>
          </w:tcPr>
          <w:p>
            <w:pPr>
              <w:widowControl/>
              <w:adjustRightInd w:val="0"/>
              <w:snapToGrid w:val="0"/>
              <w:spacing w:line="300" w:lineRule="auto"/>
              <w:jc w:val="left"/>
              <w:rPr>
                <w:rFonts w:ascii="宋体" w:hAnsi="宋体" w:eastAsia="宋体" w:cs="宋体"/>
                <w:b/>
                <w:bCs/>
                <w:kern w:val="0"/>
                <w:szCs w:val="21"/>
              </w:rPr>
            </w:pPr>
            <w:r>
              <w:rPr>
                <w:rFonts w:hint="eastAsia" w:ascii="宋体" w:hAnsi="宋体" w:eastAsia="宋体" w:cs="宋体"/>
                <w:b/>
                <w:bCs/>
                <w:kern w:val="0"/>
                <w:szCs w:val="21"/>
              </w:rPr>
              <w:t>（一）类型：手拉手会议话筒。</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b/>
                <w:bCs/>
                <w:kern w:val="0"/>
                <w:szCs w:val="21"/>
              </w:rPr>
              <w:t>（二）满足以下技术参数及功能要求：</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1. 符合IEC60914、GBT15381-94国际标准，采用防干扰电路设计；</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2. 高保真电容咪芯，带宽：20Hz-20KHz；</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3. 外观：黑色，采用压铸式多菱角方形麦克风，俯仰角可调；</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4. 话筒头部具有发言灯环，单元发言时灯环为常亮红色；话筒底座具有TFT高清显示屏，显示屏尺寸≥2.4寸，可显示当前话筒开启/关闭状态；</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5. 话筒具备发言计时或倒计时功能；</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6. 话筒单元带有3.5插耳机输出口；</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7. 内置完全隔离的主麦克风及备份麦克风，两路音频信号同时输出，主麦克风所在系统出现故障时，不影响备份麦克风输出；</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8. 主席单元不受发言人数限制；主席单元具有全权控制会议秩序的优先功能；主席单元的连接位置不受限制，可以支持多个主席单元同时使用；</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9. 话筒单元由主机供电，工作电压：DC 24V；</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10. 采用“手拉手”电缆串联连接方式，支持热插拔；话筒单元连接线材采用全线铝箔、水线屏蔽；</w:t>
            </w:r>
          </w:p>
          <w:p>
            <w:pPr>
              <w:widowControl/>
              <w:adjustRightInd w:val="0"/>
              <w:snapToGrid w:val="0"/>
              <w:spacing w:line="300" w:lineRule="auto"/>
              <w:jc w:val="left"/>
              <w:rPr>
                <w:rFonts w:ascii="宋体" w:hAnsi="宋体"/>
              </w:rPr>
            </w:pPr>
            <w:r>
              <w:rPr>
                <w:rFonts w:hint="eastAsia" w:ascii="宋体" w:hAnsi="宋体" w:eastAsia="宋体" w:cs="宋体"/>
                <w:kern w:val="0"/>
                <w:szCs w:val="21"/>
              </w:rPr>
              <w:t>11. 安装方式：主席台桌面安装。</w:t>
            </w:r>
          </w:p>
        </w:tc>
        <w:tc>
          <w:tcPr>
            <w:tcW w:w="850" w:type="dxa"/>
            <w:shd w:val="clear" w:color="auto" w:fill="auto"/>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只</w:t>
            </w:r>
          </w:p>
        </w:tc>
        <w:tc>
          <w:tcPr>
            <w:tcW w:w="709" w:type="dxa"/>
            <w:shd w:val="clear" w:color="auto" w:fill="auto"/>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7" w:hRule="atLeast"/>
        </w:trPr>
        <w:tc>
          <w:tcPr>
            <w:tcW w:w="72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9</w:t>
            </w:r>
          </w:p>
        </w:tc>
        <w:tc>
          <w:tcPr>
            <w:tcW w:w="1659" w:type="dxa"/>
            <w:shd w:val="clear" w:color="auto" w:fill="auto"/>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手拉手会议主机</w:t>
            </w:r>
          </w:p>
        </w:tc>
        <w:tc>
          <w:tcPr>
            <w:tcW w:w="5245" w:type="dxa"/>
            <w:shd w:val="clear" w:color="auto" w:fill="auto"/>
            <w:vAlign w:val="center"/>
          </w:tcPr>
          <w:p>
            <w:pPr>
              <w:widowControl/>
              <w:adjustRightInd w:val="0"/>
              <w:snapToGrid w:val="0"/>
              <w:spacing w:line="300" w:lineRule="auto"/>
              <w:jc w:val="left"/>
              <w:rPr>
                <w:rFonts w:ascii="宋体" w:hAnsi="宋体" w:eastAsia="宋体" w:cs="宋体"/>
                <w:b/>
                <w:bCs/>
                <w:kern w:val="0"/>
                <w:szCs w:val="21"/>
              </w:rPr>
            </w:pPr>
            <w:r>
              <w:rPr>
                <w:rFonts w:hint="eastAsia" w:ascii="宋体" w:hAnsi="宋体" w:eastAsia="宋体" w:cs="宋体"/>
                <w:b/>
                <w:bCs/>
                <w:kern w:val="0"/>
                <w:szCs w:val="21"/>
              </w:rPr>
              <w:t>（一）类型：手拉手会议主机。</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b/>
                <w:bCs/>
                <w:kern w:val="0"/>
                <w:szCs w:val="21"/>
              </w:rPr>
              <w:t>（二）满足以下技术参数及功能要求：</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1. 符合IEC60914、GBT15381-94国际标准；抗干扰电路设计；基于数字网络架构开发，内置高性能CPU处理器；</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2. 具备2.8寸TFT显示屏，支持中文语言显示；</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3. 具备三种会议模式：FIFO（先进先出模式）、FREE（全开放模式）、C-ONLY（主席模式）；</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4. 音频信号采用32bit高速浮点DSP进行处理，频率响应20Hz-20KHz，信噪比≥96dBA；</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5. 主机具备USB本地方式与电脑连接通讯；</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6. 主机支持二路八芯话筒连接，每路支持40个单元，可连接80个单元；网线接口每路支持15个单元，可连接60个单元；</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7. 至少具备：话筒单元圆头DIN-8插座2个；RJ45网线接口4个；音频总输出 BAL OUT（3针卡侬口）1个，音频总输出辅助 OUT VOL（旋钮）×1个；音频输入 AUX IN（莲花插座）1个，音频输入辅助 AUX VOL（旋钮）1个；音频录音输出 AUX OUT（莲花插座）1个；中控连接口RS-232串口1个；视频矩阵连接口 VIDEO（9针）1个；凤凰连接口 VIDEO RS422（5针）1个； VIDEO RS-232串口(小型八芯）1个；</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8. 供电方式： AC 220V/50Hz；</w:t>
            </w:r>
          </w:p>
          <w:p>
            <w:pPr>
              <w:widowControl/>
              <w:adjustRightInd w:val="0"/>
              <w:snapToGrid w:val="0"/>
              <w:spacing w:line="300" w:lineRule="auto"/>
              <w:jc w:val="left"/>
              <w:rPr>
                <w:rFonts w:ascii="宋体" w:hAnsi="宋体"/>
              </w:rPr>
            </w:pPr>
            <w:r>
              <w:rPr>
                <w:rFonts w:hint="eastAsia" w:ascii="宋体" w:hAnsi="宋体" w:eastAsia="宋体" w:cs="宋体"/>
                <w:kern w:val="0"/>
                <w:szCs w:val="21"/>
              </w:rPr>
              <w:t>10. 安装方式：19英寸标准机柜安装。</w:t>
            </w:r>
          </w:p>
        </w:tc>
        <w:tc>
          <w:tcPr>
            <w:tcW w:w="850" w:type="dxa"/>
            <w:shd w:val="clear" w:color="auto" w:fill="auto"/>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台</w:t>
            </w:r>
          </w:p>
        </w:tc>
        <w:tc>
          <w:tcPr>
            <w:tcW w:w="709" w:type="dxa"/>
            <w:shd w:val="clear" w:color="auto" w:fill="auto"/>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0" w:hRule="atLeast"/>
        </w:trPr>
        <w:tc>
          <w:tcPr>
            <w:tcW w:w="72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10</w:t>
            </w:r>
          </w:p>
        </w:tc>
        <w:tc>
          <w:tcPr>
            <w:tcW w:w="1659"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无线手持话筒</w:t>
            </w:r>
          </w:p>
        </w:tc>
        <w:tc>
          <w:tcPr>
            <w:tcW w:w="5245" w:type="dxa"/>
            <w:shd w:val="clear" w:color="auto" w:fill="auto"/>
          </w:tcPr>
          <w:p>
            <w:pPr>
              <w:widowControl/>
              <w:adjustRightInd w:val="0"/>
              <w:snapToGrid w:val="0"/>
              <w:spacing w:line="300" w:lineRule="auto"/>
              <w:jc w:val="left"/>
              <w:rPr>
                <w:rFonts w:ascii="宋体" w:hAnsi="宋体" w:eastAsia="宋体" w:cs="宋体"/>
                <w:b/>
                <w:bCs/>
                <w:kern w:val="0"/>
                <w:szCs w:val="21"/>
              </w:rPr>
            </w:pPr>
            <w:r>
              <w:rPr>
                <w:rFonts w:hint="eastAsia" w:ascii="宋体" w:hAnsi="宋体" w:eastAsia="宋体" w:cs="宋体"/>
                <w:b/>
                <w:bCs/>
                <w:kern w:val="0"/>
                <w:szCs w:val="21"/>
              </w:rPr>
              <w:t>（一）类型：无线手持话筒（1拖2）。</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b/>
                <w:bCs/>
                <w:kern w:val="0"/>
                <w:szCs w:val="21"/>
              </w:rPr>
              <w:t>（二）满足以下技术参数及功能要求：</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b/>
                <w:bCs/>
                <w:kern w:val="0"/>
                <w:szCs w:val="21"/>
              </w:rPr>
              <w:t>1.接收器：</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1) 通道：双通道；</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2) 频率稳定性：±0.005%PLL相位锁定震荡电路；频率范围：UHF600-724.4MHz；灵敏度：5dBuV.S/N&gt;60dBat25偏差；带宽：40MHz；信噪比≥108dB；频率响应：65Hz-18KHz（±3dB）；</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3) 调节方式：FM；</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4) 接收范围：30-80米；</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5) 电源：240V 50Hz；</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6) 尺寸：420×182×45mm。</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7) 安装方式：会议室吊顶隐藏安装，由音控室单独供电。</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b/>
                <w:bCs/>
                <w:kern w:val="0"/>
                <w:szCs w:val="21"/>
              </w:rPr>
              <w:t>2.发射器：</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1) 麦克风指向：心形指向，U段防啸叫，动圈式设计；</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2) 频率范围：UHF640-724.4MHz；谐波：≤-63sBm；带宽：80HMz；最大误差值：±45KHz；防震：PLL；</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3) 输出功率：8mW；</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4) 电池：锂电池，容量≥500mA。</w:t>
            </w:r>
          </w:p>
        </w:tc>
        <w:tc>
          <w:tcPr>
            <w:tcW w:w="85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套</w:t>
            </w:r>
          </w:p>
        </w:tc>
        <w:tc>
          <w:tcPr>
            <w:tcW w:w="709"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8" w:hRule="atLeast"/>
        </w:trPr>
        <w:tc>
          <w:tcPr>
            <w:tcW w:w="72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11</w:t>
            </w:r>
          </w:p>
        </w:tc>
        <w:tc>
          <w:tcPr>
            <w:tcW w:w="1659"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时序器</w:t>
            </w:r>
          </w:p>
        </w:tc>
        <w:tc>
          <w:tcPr>
            <w:tcW w:w="5245" w:type="dxa"/>
            <w:shd w:val="clear" w:color="auto" w:fill="auto"/>
            <w:vAlign w:val="center"/>
          </w:tcPr>
          <w:p>
            <w:pPr>
              <w:widowControl/>
              <w:adjustRightInd w:val="0"/>
              <w:snapToGrid w:val="0"/>
              <w:spacing w:line="300" w:lineRule="auto"/>
              <w:jc w:val="left"/>
              <w:rPr>
                <w:rFonts w:ascii="宋体" w:hAnsi="宋体" w:eastAsia="宋体" w:cs="宋体"/>
                <w:b/>
                <w:kern w:val="0"/>
                <w:szCs w:val="21"/>
              </w:rPr>
            </w:pPr>
            <w:r>
              <w:rPr>
                <w:rFonts w:hint="eastAsia" w:ascii="宋体" w:hAnsi="宋体" w:eastAsia="宋体" w:cs="宋体"/>
                <w:b/>
                <w:kern w:val="0"/>
                <w:szCs w:val="21"/>
              </w:rPr>
              <w:t>（一）类型：时序器。</w:t>
            </w:r>
          </w:p>
          <w:p>
            <w:pPr>
              <w:widowControl/>
              <w:adjustRightInd w:val="0"/>
              <w:snapToGrid w:val="0"/>
              <w:spacing w:line="300" w:lineRule="auto"/>
              <w:jc w:val="left"/>
              <w:rPr>
                <w:rFonts w:ascii="宋体" w:hAnsi="宋体" w:eastAsia="宋体" w:cs="宋体"/>
                <w:b/>
                <w:kern w:val="0"/>
                <w:szCs w:val="21"/>
              </w:rPr>
            </w:pPr>
            <w:r>
              <w:rPr>
                <w:rFonts w:hint="eastAsia" w:ascii="宋体" w:hAnsi="宋体" w:eastAsia="宋体" w:cs="宋体"/>
                <w:b/>
                <w:kern w:val="0"/>
                <w:szCs w:val="21"/>
              </w:rPr>
              <w:t>（二）满足以下技术参数及功能要求：</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1. 有屏2座空气开关保护，每路独立开关控制；</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2. 输出路数≥10路，每路输出≥30A；</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3. 具备短路、过流自动断电保护功能。</w:t>
            </w:r>
          </w:p>
          <w:p>
            <w:pPr>
              <w:pStyle w:val="2"/>
              <w:adjustRightInd w:val="0"/>
              <w:snapToGrid w:val="0"/>
              <w:spacing w:line="300" w:lineRule="auto"/>
              <w:rPr>
                <w:rFonts w:ascii="宋体" w:hAnsi="宋体" w:cs="宋体"/>
                <w:kern w:val="0"/>
                <w:sz w:val="21"/>
                <w:szCs w:val="21"/>
              </w:rPr>
            </w:pPr>
            <w:r>
              <w:rPr>
                <w:rFonts w:hint="eastAsia" w:ascii="宋体" w:hAnsi="宋体" w:cs="宋体"/>
                <w:kern w:val="0"/>
                <w:sz w:val="21"/>
                <w:szCs w:val="21"/>
              </w:rPr>
              <w:t>4. 安装方式：19英寸标准机柜安装。</w:t>
            </w:r>
          </w:p>
        </w:tc>
        <w:tc>
          <w:tcPr>
            <w:tcW w:w="85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台</w:t>
            </w:r>
          </w:p>
        </w:tc>
        <w:tc>
          <w:tcPr>
            <w:tcW w:w="709"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0" w:hRule="atLeast"/>
        </w:trPr>
        <w:tc>
          <w:tcPr>
            <w:tcW w:w="72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12</w:t>
            </w:r>
          </w:p>
        </w:tc>
        <w:tc>
          <w:tcPr>
            <w:tcW w:w="1659"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设备机柜</w:t>
            </w:r>
          </w:p>
        </w:tc>
        <w:tc>
          <w:tcPr>
            <w:tcW w:w="5245" w:type="dxa"/>
            <w:shd w:val="clear" w:color="auto" w:fill="auto"/>
            <w:vAlign w:val="center"/>
          </w:tcPr>
          <w:p>
            <w:pPr>
              <w:widowControl/>
              <w:adjustRightInd w:val="0"/>
              <w:snapToGrid w:val="0"/>
              <w:spacing w:line="300" w:lineRule="auto"/>
              <w:jc w:val="left"/>
              <w:rPr>
                <w:rFonts w:ascii="宋体" w:hAnsi="宋体" w:eastAsia="宋体" w:cs="宋体"/>
                <w:b/>
                <w:bCs/>
                <w:kern w:val="0"/>
                <w:szCs w:val="21"/>
              </w:rPr>
            </w:pPr>
            <w:r>
              <w:rPr>
                <w:rFonts w:hint="eastAsia" w:ascii="宋体" w:hAnsi="宋体" w:eastAsia="宋体" w:cs="宋体"/>
                <w:b/>
                <w:bCs/>
                <w:kern w:val="0"/>
                <w:szCs w:val="21"/>
              </w:rPr>
              <w:t>（一）类型：19英寸标准机柜。</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b/>
                <w:bCs/>
                <w:kern w:val="0"/>
                <w:szCs w:val="21"/>
              </w:rPr>
              <w:t>（二）满足以下技术参数及功能要求：</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1.容量：38U；</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2.尺寸：1800mm（高）×600mm（宽）×600mm（深）；</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3.外观：黑色；材质：冷轧钢；板材厚度≥1.2mm；</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4.托盘数量≥8块，机柜带风扇、脚轮、脚钉；</w:t>
            </w:r>
          </w:p>
          <w:p>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5.前门类型：单开玻璃门。</w:t>
            </w:r>
          </w:p>
          <w:p>
            <w:pPr>
              <w:widowControl/>
              <w:adjustRightInd w:val="0"/>
              <w:snapToGrid w:val="0"/>
              <w:spacing w:line="300" w:lineRule="auto"/>
              <w:jc w:val="left"/>
              <w:rPr>
                <w:rFonts w:ascii="宋体" w:hAnsi="宋体"/>
              </w:rPr>
            </w:pPr>
            <w:r>
              <w:rPr>
                <w:rFonts w:hint="eastAsia" w:ascii="宋体" w:hAnsi="宋体" w:eastAsia="宋体" w:cs="宋体"/>
                <w:kern w:val="0"/>
                <w:szCs w:val="21"/>
              </w:rPr>
              <w:t>6. 安装方式：控室内安装。</w:t>
            </w:r>
          </w:p>
        </w:tc>
        <w:tc>
          <w:tcPr>
            <w:tcW w:w="85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个</w:t>
            </w:r>
          </w:p>
        </w:tc>
        <w:tc>
          <w:tcPr>
            <w:tcW w:w="709"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2" w:hRule="atLeast"/>
        </w:trPr>
        <w:tc>
          <w:tcPr>
            <w:tcW w:w="72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13</w:t>
            </w:r>
          </w:p>
        </w:tc>
        <w:tc>
          <w:tcPr>
            <w:tcW w:w="1659" w:type="dxa"/>
            <w:shd w:val="clear" w:color="auto" w:fill="auto"/>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线材、辅材及其他</w:t>
            </w:r>
          </w:p>
        </w:tc>
        <w:tc>
          <w:tcPr>
            <w:tcW w:w="5245" w:type="dxa"/>
            <w:shd w:val="clear" w:color="auto" w:fill="auto"/>
            <w:vAlign w:val="center"/>
          </w:tcPr>
          <w:p>
            <w:pPr>
              <w:widowControl/>
              <w:adjustRightInd w:val="0"/>
              <w:snapToGrid w:val="0"/>
              <w:spacing w:line="300" w:lineRule="auto"/>
              <w:rPr>
                <w:rFonts w:ascii="宋体" w:hAnsi="宋体" w:eastAsia="宋体" w:cs="宋体"/>
                <w:kern w:val="0"/>
                <w:szCs w:val="21"/>
              </w:rPr>
            </w:pPr>
            <w:r>
              <w:rPr>
                <w:rFonts w:hint="eastAsia" w:ascii="宋体" w:hAnsi="宋体" w:eastAsia="宋体" w:cs="宋体"/>
                <w:kern w:val="0"/>
                <w:szCs w:val="21"/>
              </w:rPr>
              <w:t>为完成本项目所需的一切管材、线材、辅材等，包括但不限于：音箱吊架、支架、各类音视频线缆、PVC管、连接件、转换器、插接件、电源线、空开、电工胶布、扎带等，以及因施工配套需实施的墙面和地面开槽打洞及恢复、管网暗埋、管网敷设、设备上架、音视频线路及供电线路穿管敷设、线缆绑扎整理、设备及系统调试等。</w:t>
            </w:r>
          </w:p>
        </w:tc>
        <w:tc>
          <w:tcPr>
            <w:tcW w:w="850"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批</w:t>
            </w:r>
          </w:p>
        </w:tc>
        <w:tc>
          <w:tcPr>
            <w:tcW w:w="709" w:type="dxa"/>
            <w:shd w:val="clear" w:color="auto" w:fill="auto"/>
            <w:noWrap/>
            <w:vAlign w:val="center"/>
          </w:tcPr>
          <w:p>
            <w:pPr>
              <w:widowControl/>
              <w:adjustRightInd w:val="0"/>
              <w:snapToGrid w:val="0"/>
              <w:spacing w:line="300" w:lineRule="auto"/>
              <w:jc w:val="center"/>
              <w:rPr>
                <w:rFonts w:ascii="宋体" w:hAnsi="宋体" w:eastAsia="宋体" w:cs="宋体"/>
                <w:kern w:val="0"/>
                <w:szCs w:val="21"/>
              </w:rPr>
            </w:pPr>
            <w:r>
              <w:rPr>
                <w:rFonts w:hint="eastAsia" w:ascii="宋体" w:hAnsi="宋体" w:eastAsia="宋体" w:cs="宋体"/>
                <w:kern w:val="0"/>
                <w:szCs w:val="21"/>
              </w:rPr>
              <w:t>1</w:t>
            </w:r>
          </w:p>
        </w:tc>
      </w:tr>
    </w:tbl>
    <w:p>
      <w:pPr>
        <w:widowControl/>
        <w:adjustRightInd w:val="0"/>
        <w:snapToGrid w:val="0"/>
        <w:spacing w:line="576" w:lineRule="exact"/>
        <w:ind w:firstLine="566" w:firstLineChars="177"/>
        <w:rPr>
          <w:rFonts w:ascii="宋体" w:hAnsi="宋体" w:eastAsia="黑体" w:cs="宋体"/>
          <w:sz w:val="32"/>
          <w:szCs w:val="32"/>
        </w:rPr>
      </w:pPr>
      <w:r>
        <w:rPr>
          <w:rFonts w:hint="eastAsia" w:ascii="宋体" w:hAnsi="宋体" w:eastAsia="黑体" w:cs="宋体"/>
          <w:sz w:val="32"/>
          <w:szCs w:val="32"/>
        </w:rPr>
        <w:t>说明：</w:t>
      </w:r>
    </w:p>
    <w:p>
      <w:pPr>
        <w:pStyle w:val="36"/>
        <w:widowControl/>
        <w:numPr>
          <w:ilvl w:val="0"/>
          <w:numId w:val="4"/>
        </w:numPr>
        <w:tabs>
          <w:tab w:val="left" w:pos="993"/>
        </w:tabs>
        <w:adjustRightInd w:val="0"/>
        <w:snapToGrid w:val="0"/>
        <w:spacing w:line="576" w:lineRule="exact"/>
        <w:ind w:left="0" w:firstLine="567" w:firstLineChars="0"/>
        <w:rPr>
          <w:rFonts w:ascii="宋体" w:hAnsi="宋体" w:eastAsia="仿宋_GB2312" w:cs="宋体"/>
          <w:sz w:val="32"/>
          <w:szCs w:val="32"/>
        </w:rPr>
      </w:pPr>
      <w:r>
        <w:rPr>
          <w:rFonts w:hint="eastAsia" w:ascii="宋体" w:hAnsi="宋体" w:eastAsia="仿宋_GB2312" w:cs="宋体"/>
          <w:sz w:val="32"/>
          <w:szCs w:val="32"/>
        </w:rPr>
        <w:t>供货商必须提供全新的货物（含零部件、配件等），表面无划伤、无碰撞痕迹，且权属清楚，不得侵害他人的知识产权。</w:t>
      </w:r>
    </w:p>
    <w:p>
      <w:pPr>
        <w:pStyle w:val="36"/>
        <w:widowControl/>
        <w:numPr>
          <w:ilvl w:val="0"/>
          <w:numId w:val="4"/>
        </w:numPr>
        <w:tabs>
          <w:tab w:val="left" w:pos="993"/>
        </w:tabs>
        <w:adjustRightInd w:val="0"/>
        <w:snapToGrid w:val="0"/>
        <w:spacing w:line="576" w:lineRule="exact"/>
        <w:ind w:left="0" w:firstLine="567" w:firstLineChars="0"/>
        <w:rPr>
          <w:rFonts w:ascii="宋体" w:hAnsi="宋体" w:eastAsia="仿宋_GB2312" w:cs="宋体"/>
          <w:sz w:val="32"/>
          <w:szCs w:val="32"/>
        </w:rPr>
      </w:pPr>
      <w:r>
        <w:rPr>
          <w:rFonts w:hint="eastAsia" w:ascii="宋体" w:hAnsi="宋体" w:eastAsia="仿宋_GB2312" w:cs="宋体"/>
          <w:sz w:val="32"/>
          <w:szCs w:val="32"/>
        </w:rPr>
        <w:t>货物必须符合行业标准，以及本项目采购文件的质量要求和技术指标与出厂标准。货物质量出现问题，供货商应负责三包（包修、包换、包退），费用由供货商自行承担。</w:t>
      </w:r>
    </w:p>
    <w:p>
      <w:pPr>
        <w:pStyle w:val="36"/>
        <w:widowControl/>
        <w:numPr>
          <w:ilvl w:val="0"/>
          <w:numId w:val="4"/>
        </w:numPr>
        <w:tabs>
          <w:tab w:val="left" w:pos="993"/>
        </w:tabs>
        <w:adjustRightInd w:val="0"/>
        <w:snapToGrid w:val="0"/>
        <w:spacing w:line="576" w:lineRule="exact"/>
        <w:ind w:left="0" w:firstLine="567" w:firstLineChars="0"/>
        <w:rPr>
          <w:rFonts w:ascii="宋体" w:hAnsi="宋体" w:eastAsia="仿宋_GB2312" w:cs="宋体"/>
          <w:sz w:val="32"/>
          <w:szCs w:val="32"/>
        </w:rPr>
      </w:pPr>
      <w:r>
        <w:rPr>
          <w:rFonts w:hint="eastAsia" w:ascii="宋体" w:hAnsi="宋体" w:eastAsia="仿宋_GB2312" w:cs="宋体"/>
          <w:sz w:val="32"/>
          <w:szCs w:val="32"/>
        </w:rPr>
        <w:t>施工工艺要求：本项目所有电源线、音视频线缆必须采取PVC管穿管保护，PVC管之间采取直通、三通、弯管等成品连接件连接，原则上在天花板内隐藏走线，必须在墙面及地面安装的，须开槽暗埋，并做好墙面及地面恢复。</w:t>
      </w:r>
    </w:p>
    <w:p>
      <w:pPr>
        <w:pStyle w:val="4"/>
        <w:numPr>
          <w:ilvl w:val="0"/>
          <w:numId w:val="2"/>
        </w:numPr>
        <w:tabs>
          <w:tab w:val="left" w:pos="1560"/>
        </w:tabs>
        <w:adjustRightInd w:val="0"/>
        <w:snapToGrid w:val="0"/>
        <w:spacing w:beforeLines="50" w:line="576" w:lineRule="exact"/>
        <w:ind w:left="1129"/>
        <w:rPr>
          <w:rFonts w:eastAsia="黑体"/>
          <w:b w:val="0"/>
          <w:sz w:val="32"/>
          <w:szCs w:val="32"/>
        </w:rPr>
      </w:pPr>
      <w:bookmarkStart w:id="0" w:name="_Toc78405809"/>
      <w:r>
        <w:rPr>
          <w:rFonts w:hint="eastAsia" w:eastAsia="黑体"/>
          <w:b w:val="0"/>
          <w:sz w:val="32"/>
          <w:szCs w:val="32"/>
        </w:rPr>
        <w:t>工期计划</w:t>
      </w:r>
      <w:bookmarkEnd w:id="0"/>
    </w:p>
    <w:p>
      <w:pPr>
        <w:widowControl/>
        <w:adjustRightInd w:val="0"/>
        <w:snapToGrid w:val="0"/>
        <w:spacing w:line="576" w:lineRule="exact"/>
        <w:ind w:firstLine="640" w:firstLineChars="200"/>
        <w:rPr>
          <w:rFonts w:ascii="宋体" w:hAnsi="宋体" w:eastAsia="仿宋_GB2312" w:cs="宋体"/>
          <w:sz w:val="32"/>
          <w:szCs w:val="32"/>
        </w:rPr>
      </w:pPr>
      <w:r>
        <w:rPr>
          <w:rFonts w:hint="eastAsia" w:ascii="宋体" w:hAnsi="宋体" w:eastAsia="仿宋_GB2312" w:cs="宋体"/>
          <w:sz w:val="32"/>
          <w:szCs w:val="32"/>
        </w:rPr>
        <w:t>本项目自合同签订之日起15日内，由供货商将所有货物全部送达采购人指定地点，提交采购人组织供货验收。供货验收通过后5日内供货商应完成所有货物的安装调试、线缆整理、人员培训等全部工作，整体交付采购人投入试运行。本项目试运行期30天。试运行期满，15日内由采购人组织竣工验收。</w:t>
      </w:r>
    </w:p>
    <w:p>
      <w:pPr>
        <w:widowControl/>
        <w:adjustRightInd w:val="0"/>
        <w:snapToGrid w:val="0"/>
        <w:spacing w:line="576" w:lineRule="exact"/>
        <w:ind w:firstLine="640" w:firstLineChars="200"/>
        <w:rPr>
          <w:rFonts w:ascii="宋体" w:hAnsi="宋体" w:eastAsia="仿宋_GB2312" w:cs="宋体"/>
          <w:sz w:val="32"/>
          <w:szCs w:val="32"/>
        </w:rPr>
      </w:pPr>
      <w:r>
        <w:rPr>
          <w:rFonts w:hint="eastAsia" w:ascii="宋体" w:hAnsi="宋体" w:eastAsia="仿宋_GB2312" w:cs="宋体"/>
          <w:sz w:val="32"/>
          <w:szCs w:val="32"/>
        </w:rPr>
        <w:t>施工期间采购人会议室原则不得停用。供应商应当充分考虑采购人现实情况，合理计划施工人员及有效施工时间，在约定工期内完成项目施工及验收等全部工作。</w:t>
      </w:r>
    </w:p>
    <w:p>
      <w:pPr>
        <w:pStyle w:val="4"/>
        <w:numPr>
          <w:ilvl w:val="0"/>
          <w:numId w:val="2"/>
        </w:numPr>
        <w:tabs>
          <w:tab w:val="left" w:pos="1560"/>
        </w:tabs>
        <w:adjustRightInd w:val="0"/>
        <w:snapToGrid w:val="0"/>
        <w:spacing w:beforeLines="50" w:line="576" w:lineRule="exact"/>
        <w:ind w:left="1129"/>
        <w:rPr>
          <w:rFonts w:eastAsia="黑体"/>
          <w:b w:val="0"/>
          <w:sz w:val="32"/>
          <w:szCs w:val="32"/>
        </w:rPr>
      </w:pPr>
      <w:r>
        <w:rPr>
          <w:rFonts w:hint="eastAsia" w:eastAsia="黑体"/>
          <w:b w:val="0"/>
          <w:sz w:val="32"/>
          <w:szCs w:val="32"/>
        </w:rPr>
        <w:t>采购控制价</w:t>
      </w:r>
    </w:p>
    <w:p>
      <w:pPr>
        <w:widowControl/>
        <w:adjustRightInd w:val="0"/>
        <w:snapToGrid w:val="0"/>
        <w:spacing w:line="576" w:lineRule="exact"/>
        <w:ind w:firstLine="640" w:firstLineChars="200"/>
        <w:rPr>
          <w:rFonts w:ascii="宋体" w:hAnsi="宋体" w:eastAsia="仿宋_GB2312" w:cs="宋体"/>
          <w:sz w:val="32"/>
          <w:szCs w:val="32"/>
        </w:rPr>
      </w:pPr>
      <w:r>
        <w:rPr>
          <w:rFonts w:hint="eastAsia" w:ascii="宋体" w:hAnsi="宋体" w:eastAsia="仿宋_GB2312" w:cs="宋体"/>
          <w:sz w:val="32"/>
          <w:szCs w:val="32"/>
        </w:rPr>
        <w:t>本项目最高控制价4.96万元。包括：</w:t>
      </w:r>
    </w:p>
    <w:p>
      <w:pPr>
        <w:pStyle w:val="36"/>
        <w:widowControl/>
        <w:numPr>
          <w:ilvl w:val="0"/>
          <w:numId w:val="5"/>
        </w:numPr>
        <w:adjustRightInd w:val="0"/>
        <w:snapToGrid w:val="0"/>
        <w:spacing w:line="576" w:lineRule="exact"/>
        <w:ind w:left="0" w:firstLine="640" w:firstLineChars="0"/>
        <w:rPr>
          <w:rFonts w:ascii="宋体" w:hAnsi="宋体" w:eastAsia="仿宋_GB2312" w:cs="宋体"/>
          <w:sz w:val="32"/>
          <w:szCs w:val="32"/>
        </w:rPr>
      </w:pPr>
      <w:r>
        <w:rPr>
          <w:rFonts w:hint="eastAsia" w:ascii="宋体" w:hAnsi="宋体" w:eastAsia="仿宋_GB2312" w:cs="宋体"/>
          <w:sz w:val="32"/>
          <w:szCs w:val="32"/>
        </w:rPr>
        <w:t>设备或材料的采购、运输、安装、调试、税金、利润等全部费用。</w:t>
      </w:r>
    </w:p>
    <w:p>
      <w:pPr>
        <w:pStyle w:val="36"/>
        <w:widowControl/>
        <w:numPr>
          <w:ilvl w:val="0"/>
          <w:numId w:val="5"/>
        </w:numPr>
        <w:adjustRightInd w:val="0"/>
        <w:snapToGrid w:val="0"/>
        <w:spacing w:line="576" w:lineRule="exact"/>
        <w:ind w:left="0" w:firstLine="640" w:firstLineChars="0"/>
        <w:rPr>
          <w:rFonts w:ascii="宋体" w:hAnsi="宋体" w:eastAsia="仿宋_GB2312" w:cs="宋体"/>
          <w:sz w:val="32"/>
          <w:szCs w:val="32"/>
        </w:rPr>
      </w:pPr>
      <w:r>
        <w:rPr>
          <w:rFonts w:hint="eastAsia" w:ascii="宋体" w:hAnsi="宋体" w:eastAsia="仿宋_GB2312" w:cs="宋体"/>
          <w:sz w:val="32"/>
          <w:szCs w:val="32"/>
        </w:rPr>
        <w:t>投标人</w:t>
      </w:r>
      <w:r>
        <w:rPr>
          <w:rFonts w:ascii="宋体" w:hAnsi="宋体" w:eastAsia="仿宋_GB2312" w:cs="宋体"/>
          <w:sz w:val="32"/>
          <w:szCs w:val="32"/>
        </w:rPr>
        <w:t>应充分理解采购人需求，自行考察现场环境难</w:t>
      </w:r>
      <w:r>
        <w:rPr>
          <w:rFonts w:hint="eastAsia" w:ascii="宋体" w:hAnsi="宋体" w:eastAsia="仿宋_GB2312" w:cs="宋体"/>
          <w:sz w:val="32"/>
          <w:szCs w:val="32"/>
        </w:rPr>
        <w:t>易程</w:t>
      </w:r>
      <w:r>
        <w:rPr>
          <w:rFonts w:ascii="宋体" w:hAnsi="宋体" w:eastAsia="仿宋_GB2312" w:cs="宋体"/>
          <w:sz w:val="32"/>
          <w:szCs w:val="32"/>
        </w:rPr>
        <w:t>度以确定报价。</w:t>
      </w:r>
      <w:r>
        <w:rPr>
          <w:rFonts w:hint="eastAsia" w:ascii="宋体" w:hAnsi="宋体" w:eastAsia="仿宋_GB2312" w:cs="宋体"/>
          <w:sz w:val="32"/>
          <w:szCs w:val="32"/>
        </w:rPr>
        <w:t>供应商必须</w:t>
      </w:r>
      <w:r>
        <w:rPr>
          <w:rFonts w:ascii="宋体" w:hAnsi="宋体" w:eastAsia="仿宋_GB2312" w:cs="宋体"/>
          <w:sz w:val="32"/>
          <w:szCs w:val="32"/>
        </w:rPr>
        <w:t>提供</w:t>
      </w:r>
      <w:r>
        <w:rPr>
          <w:rFonts w:hint="eastAsia" w:ascii="宋体" w:hAnsi="宋体" w:eastAsia="仿宋_GB2312" w:cs="宋体"/>
          <w:sz w:val="32"/>
          <w:szCs w:val="32"/>
        </w:rPr>
        <w:t>完成</w:t>
      </w:r>
      <w:r>
        <w:rPr>
          <w:rFonts w:ascii="宋体" w:hAnsi="宋体" w:eastAsia="仿宋_GB2312" w:cs="宋体"/>
          <w:sz w:val="32"/>
          <w:szCs w:val="32"/>
        </w:rPr>
        <w:t>本项目所必需的所有设备和材料，确保设备</w:t>
      </w:r>
      <w:r>
        <w:rPr>
          <w:rFonts w:hint="eastAsia" w:ascii="宋体" w:hAnsi="宋体" w:eastAsia="仿宋_GB2312" w:cs="宋体"/>
          <w:sz w:val="32"/>
          <w:szCs w:val="32"/>
        </w:rPr>
        <w:t>材料齐全</w:t>
      </w:r>
      <w:r>
        <w:rPr>
          <w:rFonts w:ascii="宋体" w:hAnsi="宋体" w:eastAsia="仿宋_GB2312" w:cs="宋体"/>
          <w:sz w:val="32"/>
          <w:szCs w:val="32"/>
        </w:rPr>
        <w:t>、系统正常运行，如有任何遗漏，由</w:t>
      </w:r>
      <w:r>
        <w:rPr>
          <w:rFonts w:hint="eastAsia" w:ascii="宋体" w:hAnsi="宋体" w:eastAsia="仿宋_GB2312" w:cs="宋体"/>
          <w:sz w:val="32"/>
          <w:szCs w:val="32"/>
        </w:rPr>
        <w:t>供应商</w:t>
      </w:r>
      <w:r>
        <w:rPr>
          <w:rFonts w:ascii="宋体" w:hAnsi="宋体" w:eastAsia="仿宋_GB2312" w:cs="宋体"/>
          <w:sz w:val="32"/>
          <w:szCs w:val="32"/>
        </w:rPr>
        <w:t>无偿补齐</w:t>
      </w:r>
      <w:r>
        <w:rPr>
          <w:rFonts w:hint="eastAsia" w:ascii="宋体" w:hAnsi="宋体" w:eastAsia="仿宋_GB2312" w:cs="宋体"/>
          <w:sz w:val="32"/>
          <w:szCs w:val="32"/>
        </w:rPr>
        <w:t>。</w:t>
      </w:r>
      <w:r>
        <w:rPr>
          <w:rFonts w:ascii="宋体" w:hAnsi="宋体" w:eastAsia="仿宋_GB2312" w:cs="宋体"/>
          <w:sz w:val="32"/>
          <w:szCs w:val="32"/>
        </w:rPr>
        <w:t>包括但不限于</w:t>
      </w:r>
      <w:r>
        <w:rPr>
          <w:rFonts w:hint="eastAsia" w:ascii="宋体" w:hAnsi="宋体" w:eastAsia="仿宋_GB2312" w:cs="宋体"/>
          <w:sz w:val="32"/>
          <w:szCs w:val="32"/>
        </w:rPr>
        <w:t>：音箱吊架、支架、各类音视频线缆、PVC管、</w:t>
      </w:r>
      <w:r>
        <w:rPr>
          <w:rFonts w:ascii="宋体" w:hAnsi="宋体" w:eastAsia="仿宋_GB2312" w:cs="宋体"/>
          <w:sz w:val="32"/>
          <w:szCs w:val="32"/>
        </w:rPr>
        <w:t>底盒、面板、模块、标签</w:t>
      </w:r>
      <w:r>
        <w:rPr>
          <w:rFonts w:hint="eastAsia" w:ascii="宋体" w:hAnsi="宋体" w:eastAsia="仿宋_GB2312" w:cs="宋体"/>
          <w:sz w:val="32"/>
          <w:szCs w:val="32"/>
        </w:rPr>
        <w:t>、插板、空开、连接件、转换器、插接件、电源线、电工胶布、扎带等，以及因施工配套需实施的墙面和地面开槽打洞及恢复、管网暗埋、管网敷设、设备上架、音视频线路及供电线路穿管敷设、线缆绑扎整理、设备及系统调试，以及原有设备、线缆的检测、拆除、搬迁，对本次更换及原有线缆进行清理绑扎等。</w:t>
      </w:r>
    </w:p>
    <w:p>
      <w:pPr>
        <w:pStyle w:val="4"/>
        <w:numPr>
          <w:ilvl w:val="0"/>
          <w:numId w:val="2"/>
        </w:numPr>
        <w:tabs>
          <w:tab w:val="left" w:pos="1560"/>
        </w:tabs>
        <w:adjustRightInd w:val="0"/>
        <w:snapToGrid w:val="0"/>
        <w:spacing w:beforeLines="50" w:line="576" w:lineRule="exact"/>
        <w:ind w:left="1129"/>
        <w:rPr>
          <w:rFonts w:eastAsia="黑体"/>
          <w:b w:val="0"/>
          <w:sz w:val="32"/>
          <w:szCs w:val="32"/>
        </w:rPr>
      </w:pPr>
      <w:r>
        <w:rPr>
          <w:rFonts w:hint="eastAsia" w:eastAsia="黑体"/>
          <w:b w:val="0"/>
          <w:sz w:val="32"/>
          <w:szCs w:val="32"/>
        </w:rPr>
        <w:t>商务要求</w:t>
      </w:r>
    </w:p>
    <w:p>
      <w:pPr>
        <w:pStyle w:val="36"/>
        <w:widowControl/>
        <w:numPr>
          <w:ilvl w:val="0"/>
          <w:numId w:val="6"/>
        </w:numPr>
        <w:adjustRightInd w:val="0"/>
        <w:snapToGrid w:val="0"/>
        <w:spacing w:line="576" w:lineRule="exact"/>
        <w:ind w:firstLineChars="0"/>
        <w:rPr>
          <w:rFonts w:ascii="宋体" w:hAnsi="宋体" w:eastAsia="楷体" w:cs="宋体"/>
          <w:b/>
          <w:sz w:val="32"/>
          <w:szCs w:val="32"/>
        </w:rPr>
      </w:pPr>
      <w:r>
        <w:rPr>
          <w:rFonts w:hint="eastAsia" w:ascii="宋体" w:hAnsi="宋体" w:eastAsia="楷体" w:cs="宋体"/>
          <w:b/>
          <w:sz w:val="32"/>
          <w:szCs w:val="32"/>
        </w:rPr>
        <w:t>付款方式</w:t>
      </w:r>
    </w:p>
    <w:p>
      <w:pPr>
        <w:pStyle w:val="36"/>
        <w:widowControl/>
        <w:adjustRightInd w:val="0"/>
        <w:snapToGrid w:val="0"/>
        <w:spacing w:line="576" w:lineRule="exact"/>
        <w:ind w:firstLine="640"/>
        <w:rPr>
          <w:rFonts w:ascii="宋体" w:hAnsi="宋体" w:eastAsia="仿宋_GB2312" w:cs="宋体"/>
          <w:sz w:val="32"/>
          <w:szCs w:val="32"/>
        </w:rPr>
      </w:pPr>
      <w:r>
        <w:rPr>
          <w:rFonts w:hint="eastAsia" w:ascii="宋体" w:hAnsi="宋体" w:eastAsia="仿宋_GB2312" w:cs="宋体"/>
          <w:sz w:val="32"/>
          <w:szCs w:val="32"/>
        </w:rPr>
        <w:t>双方签订合同，项目竣工验收合格，乙方向甲方足额缴纳质保金后，由甲方向乙方一次性支付合同总额的10</w:t>
      </w:r>
      <w:r>
        <w:rPr>
          <w:rFonts w:ascii="宋体" w:hAnsi="宋体" w:eastAsia="仿宋_GB2312" w:cs="宋体"/>
          <w:sz w:val="32"/>
          <w:szCs w:val="32"/>
        </w:rPr>
        <w:t>0%</w:t>
      </w:r>
      <w:r>
        <w:rPr>
          <w:rFonts w:hint="eastAsia" w:ascii="宋体" w:hAnsi="宋体" w:eastAsia="仿宋_GB2312" w:cs="宋体"/>
          <w:sz w:val="32"/>
          <w:szCs w:val="32"/>
        </w:rPr>
        <w:t>，结清合同款。</w:t>
      </w:r>
    </w:p>
    <w:p>
      <w:pPr>
        <w:pStyle w:val="36"/>
        <w:widowControl/>
        <w:numPr>
          <w:ilvl w:val="0"/>
          <w:numId w:val="6"/>
        </w:numPr>
        <w:adjustRightInd w:val="0"/>
        <w:snapToGrid w:val="0"/>
        <w:spacing w:line="576" w:lineRule="exact"/>
        <w:ind w:firstLineChars="0"/>
        <w:rPr>
          <w:rFonts w:ascii="宋体" w:hAnsi="宋体" w:eastAsia="楷体" w:cs="宋体"/>
          <w:b/>
          <w:sz w:val="32"/>
          <w:szCs w:val="32"/>
        </w:rPr>
      </w:pPr>
      <w:r>
        <w:rPr>
          <w:rFonts w:hint="eastAsia" w:ascii="宋体" w:hAnsi="宋体" w:eastAsia="楷体" w:cs="宋体"/>
          <w:b/>
          <w:sz w:val="32"/>
          <w:szCs w:val="32"/>
        </w:rPr>
        <w:t>质保期</w:t>
      </w:r>
    </w:p>
    <w:p>
      <w:pPr>
        <w:pStyle w:val="36"/>
        <w:widowControl/>
        <w:adjustRightInd w:val="0"/>
        <w:snapToGrid w:val="0"/>
        <w:spacing w:line="576" w:lineRule="exact"/>
        <w:ind w:firstLine="640"/>
        <w:rPr>
          <w:rFonts w:ascii="宋体" w:hAnsi="宋体" w:eastAsia="仿宋_GB2312" w:cs="宋体"/>
          <w:sz w:val="32"/>
          <w:szCs w:val="32"/>
        </w:rPr>
      </w:pPr>
      <w:r>
        <w:rPr>
          <w:rFonts w:hint="eastAsia" w:ascii="宋体" w:hAnsi="宋体" w:eastAsia="仿宋_GB2312" w:cs="宋体"/>
          <w:sz w:val="32"/>
          <w:szCs w:val="32"/>
        </w:rPr>
        <w:t>本项目质保期2年（自竣工验收合格之日起开始计算）。</w:t>
      </w:r>
    </w:p>
    <w:p>
      <w:pPr>
        <w:pStyle w:val="36"/>
        <w:widowControl/>
        <w:numPr>
          <w:ilvl w:val="0"/>
          <w:numId w:val="6"/>
        </w:numPr>
        <w:adjustRightInd w:val="0"/>
        <w:snapToGrid w:val="0"/>
        <w:spacing w:line="576" w:lineRule="exact"/>
        <w:ind w:firstLineChars="0"/>
        <w:rPr>
          <w:rFonts w:ascii="宋体" w:hAnsi="宋体" w:eastAsia="楷体" w:cs="宋体"/>
          <w:b/>
          <w:sz w:val="32"/>
          <w:szCs w:val="32"/>
        </w:rPr>
      </w:pPr>
      <w:r>
        <w:rPr>
          <w:rFonts w:hint="eastAsia" w:ascii="宋体" w:hAnsi="宋体" w:eastAsia="楷体" w:cs="宋体"/>
          <w:b/>
          <w:sz w:val="32"/>
          <w:szCs w:val="32"/>
        </w:rPr>
        <w:t>质保金</w:t>
      </w:r>
    </w:p>
    <w:p>
      <w:pPr>
        <w:pStyle w:val="36"/>
        <w:widowControl/>
        <w:adjustRightInd w:val="0"/>
        <w:snapToGrid w:val="0"/>
        <w:spacing w:line="576" w:lineRule="exact"/>
        <w:ind w:firstLine="640"/>
        <w:rPr>
          <w:rFonts w:ascii="宋体" w:hAnsi="宋体" w:eastAsia="仿宋_GB2312" w:cs="宋体"/>
          <w:sz w:val="32"/>
          <w:szCs w:val="32"/>
        </w:rPr>
      </w:pPr>
      <w:r>
        <w:rPr>
          <w:rFonts w:hint="eastAsia" w:ascii="宋体" w:hAnsi="宋体" w:eastAsia="仿宋_GB2312" w:cs="宋体"/>
          <w:sz w:val="32"/>
          <w:szCs w:val="32"/>
        </w:rPr>
        <w:t>本项目质保金按照合同总额的5%计取，项目竣工验收前由乙方缴纳至甲方账户，质保期满由甲方无息退还给乙方。</w:t>
      </w:r>
    </w:p>
    <w:p>
      <w:pPr>
        <w:pStyle w:val="36"/>
        <w:widowControl/>
        <w:numPr>
          <w:ilvl w:val="0"/>
          <w:numId w:val="6"/>
        </w:numPr>
        <w:adjustRightInd w:val="0"/>
        <w:snapToGrid w:val="0"/>
        <w:spacing w:line="576" w:lineRule="exact"/>
        <w:ind w:firstLineChars="0"/>
        <w:rPr>
          <w:rFonts w:ascii="宋体" w:hAnsi="宋体" w:eastAsia="楷体" w:cs="宋体"/>
          <w:b/>
          <w:sz w:val="32"/>
          <w:szCs w:val="32"/>
        </w:rPr>
      </w:pPr>
      <w:r>
        <w:rPr>
          <w:rFonts w:hint="eastAsia" w:ascii="宋体" w:hAnsi="宋体" w:eastAsia="楷体" w:cs="宋体"/>
          <w:b/>
          <w:sz w:val="32"/>
          <w:szCs w:val="32"/>
        </w:rPr>
        <w:t>包装和运输</w:t>
      </w:r>
    </w:p>
    <w:p>
      <w:pPr>
        <w:pStyle w:val="36"/>
        <w:widowControl/>
        <w:adjustRightInd w:val="0"/>
        <w:snapToGrid w:val="0"/>
        <w:spacing w:line="576" w:lineRule="exact"/>
        <w:ind w:firstLine="640"/>
        <w:rPr>
          <w:rFonts w:ascii="宋体" w:hAnsi="宋体" w:eastAsia="仿宋_GB2312" w:cs="宋体"/>
          <w:sz w:val="32"/>
          <w:szCs w:val="32"/>
        </w:rPr>
      </w:pPr>
      <w:r>
        <w:rPr>
          <w:rFonts w:hint="eastAsia" w:ascii="宋体" w:hAnsi="宋体" w:eastAsia="仿宋_GB2312" w:cs="宋体"/>
          <w:sz w:val="32"/>
          <w:szCs w:val="32"/>
        </w:rPr>
        <w:t>货物包装按照《商品包装政府采购需求标准（试行）》执行，所有货物由供应商负责运输至采购人指定地点，包装和运输所需费用包含在投标人报价中，采购人不另行支付费用。</w:t>
      </w:r>
    </w:p>
    <w:p>
      <w:pPr>
        <w:pStyle w:val="36"/>
        <w:widowControl/>
        <w:numPr>
          <w:ilvl w:val="0"/>
          <w:numId w:val="6"/>
        </w:numPr>
        <w:adjustRightInd w:val="0"/>
        <w:snapToGrid w:val="0"/>
        <w:spacing w:line="576" w:lineRule="exact"/>
        <w:ind w:firstLineChars="0"/>
        <w:rPr>
          <w:rFonts w:ascii="宋体" w:hAnsi="宋体" w:eastAsia="楷体" w:cs="宋体"/>
          <w:b/>
          <w:sz w:val="32"/>
          <w:szCs w:val="32"/>
        </w:rPr>
      </w:pPr>
      <w:r>
        <w:rPr>
          <w:rFonts w:hint="eastAsia" w:ascii="宋体" w:hAnsi="宋体" w:eastAsia="楷体" w:cs="宋体"/>
          <w:b/>
          <w:sz w:val="32"/>
          <w:szCs w:val="32"/>
        </w:rPr>
        <w:t>售后服务要求</w:t>
      </w:r>
    </w:p>
    <w:p>
      <w:pPr>
        <w:pStyle w:val="36"/>
        <w:widowControl/>
        <w:numPr>
          <w:ilvl w:val="0"/>
          <w:numId w:val="7"/>
        </w:numPr>
        <w:adjustRightInd w:val="0"/>
        <w:snapToGrid w:val="0"/>
        <w:spacing w:line="576" w:lineRule="exact"/>
        <w:ind w:left="0" w:firstLine="640" w:firstLineChars="0"/>
        <w:rPr>
          <w:rFonts w:ascii="宋体" w:hAnsi="宋体" w:eastAsia="仿宋_GB2312" w:cs="宋体"/>
          <w:sz w:val="32"/>
          <w:szCs w:val="32"/>
        </w:rPr>
      </w:pPr>
      <w:r>
        <w:rPr>
          <w:rFonts w:hint="eastAsia" w:ascii="宋体" w:hAnsi="宋体" w:eastAsia="仿宋_GB2312" w:cs="宋体"/>
          <w:sz w:val="32"/>
          <w:szCs w:val="32"/>
        </w:rPr>
        <w:t>供应商应当提供每年至少1次定期巡回保养服务。在质保期内，提供升级维修（包括上门服务）服务，对产品生命周期内所有的重大</w:t>
      </w:r>
      <w:r>
        <w:rPr>
          <w:rFonts w:ascii="宋体" w:hAnsi="宋体" w:eastAsia="仿宋_GB2312" w:cs="宋体"/>
          <w:sz w:val="32"/>
          <w:szCs w:val="32"/>
        </w:rPr>
        <w:t xml:space="preserve"> BUG </w:t>
      </w:r>
      <w:r>
        <w:rPr>
          <w:rFonts w:hint="eastAsia" w:ascii="宋体" w:hAnsi="宋体" w:eastAsia="仿宋_GB2312" w:cs="宋体"/>
          <w:sz w:val="32"/>
          <w:szCs w:val="32"/>
        </w:rPr>
        <w:t>修复、关键安全性升级等技术支持服务；如需更换零配件，供应商应保证所更换的零配件与原设备同规格同品质；同一设备、同一质量问题经供应商连续两次维修仍无法正常使用的，供应商必须更换新设备，并对产品质量实行“三包”服务；在质保期外，供应商仍然有义务为设备提供维修服务或升级技术支持，提供设备的更换、维修只收取成本费用</w:t>
      </w:r>
      <w:r>
        <w:rPr>
          <w:rFonts w:ascii="宋体" w:hAnsi="宋体" w:eastAsia="仿宋_GB2312" w:cs="宋体"/>
          <w:sz w:val="32"/>
          <w:szCs w:val="32"/>
        </w:rPr>
        <w:t>,</w:t>
      </w:r>
      <w:r>
        <w:rPr>
          <w:rFonts w:hint="eastAsia" w:ascii="宋体" w:hAnsi="宋体" w:eastAsia="仿宋_GB2312" w:cs="宋体"/>
          <w:sz w:val="32"/>
          <w:szCs w:val="32"/>
        </w:rPr>
        <w:t>不收取人工技术费用。</w:t>
      </w:r>
    </w:p>
    <w:p>
      <w:pPr>
        <w:pStyle w:val="36"/>
        <w:widowControl/>
        <w:numPr>
          <w:ilvl w:val="0"/>
          <w:numId w:val="7"/>
        </w:numPr>
        <w:adjustRightInd w:val="0"/>
        <w:snapToGrid w:val="0"/>
        <w:spacing w:line="576" w:lineRule="exact"/>
        <w:ind w:left="0" w:firstLine="640" w:firstLineChars="0"/>
        <w:rPr>
          <w:rFonts w:ascii="宋体" w:hAnsi="宋体" w:eastAsia="仿宋_GB2312" w:cs="宋体"/>
          <w:sz w:val="32"/>
          <w:szCs w:val="32"/>
        </w:rPr>
      </w:pPr>
      <w:r>
        <w:rPr>
          <w:rFonts w:hint="eastAsia" w:ascii="宋体" w:hAnsi="宋体" w:eastAsia="仿宋_GB2312" w:cs="宋体"/>
          <w:sz w:val="32"/>
          <w:szCs w:val="32"/>
        </w:rPr>
        <w:t>响应时间：供应商提供</w:t>
      </w:r>
      <w:r>
        <w:rPr>
          <w:rFonts w:ascii="宋体" w:hAnsi="宋体" w:eastAsia="仿宋_GB2312" w:cs="宋体"/>
          <w:sz w:val="32"/>
          <w:szCs w:val="32"/>
        </w:rPr>
        <w:t xml:space="preserve">7×24 </w:t>
      </w:r>
      <w:r>
        <w:rPr>
          <w:rFonts w:hint="eastAsia" w:ascii="宋体" w:hAnsi="宋体" w:eastAsia="仿宋_GB2312" w:cs="宋体"/>
          <w:sz w:val="32"/>
          <w:szCs w:val="32"/>
        </w:rPr>
        <w:t>小时的技术支持服务、配置服务电话。接到故障通知后</w:t>
      </w:r>
      <w:r>
        <w:rPr>
          <w:rFonts w:ascii="宋体" w:hAnsi="宋体" w:eastAsia="仿宋_GB2312" w:cs="宋体"/>
          <w:sz w:val="32"/>
          <w:szCs w:val="32"/>
        </w:rPr>
        <w:t xml:space="preserve"> 30 </w:t>
      </w:r>
      <w:r>
        <w:rPr>
          <w:rFonts w:hint="eastAsia" w:ascii="宋体" w:hAnsi="宋体" w:eastAsia="仿宋_GB2312" w:cs="宋体"/>
          <w:sz w:val="32"/>
          <w:szCs w:val="32"/>
        </w:rPr>
        <w:t>分钟内答复，</w:t>
      </w:r>
      <w:r>
        <w:rPr>
          <w:rFonts w:ascii="宋体" w:hAnsi="宋体" w:eastAsia="仿宋_GB2312" w:cs="宋体"/>
          <w:sz w:val="32"/>
          <w:szCs w:val="32"/>
        </w:rPr>
        <w:t xml:space="preserve">8 </w:t>
      </w:r>
      <w:r>
        <w:rPr>
          <w:rFonts w:hint="eastAsia" w:ascii="宋体" w:hAnsi="宋体" w:eastAsia="仿宋_GB2312" w:cs="宋体"/>
          <w:sz w:val="32"/>
          <w:szCs w:val="32"/>
        </w:rPr>
        <w:t>小时内指派人员及时进行检测维修，如维修不涉及零配件更换，应在</w:t>
      </w:r>
      <w:r>
        <w:rPr>
          <w:rFonts w:ascii="宋体" w:hAnsi="宋体" w:eastAsia="仿宋_GB2312" w:cs="宋体"/>
          <w:sz w:val="32"/>
          <w:szCs w:val="32"/>
        </w:rPr>
        <w:t xml:space="preserve">1 </w:t>
      </w:r>
      <w:r>
        <w:rPr>
          <w:rFonts w:hint="eastAsia" w:ascii="宋体" w:hAnsi="宋体" w:eastAsia="仿宋_GB2312" w:cs="宋体"/>
          <w:sz w:val="32"/>
          <w:szCs w:val="32"/>
        </w:rPr>
        <w:t>个工作日内修复完毕；供应商应具备应急服务保障能力，如涉及到零配件更换，应在</w:t>
      </w:r>
      <w:r>
        <w:rPr>
          <w:rFonts w:ascii="宋体" w:hAnsi="宋体" w:eastAsia="仿宋_GB2312" w:cs="宋体"/>
          <w:sz w:val="32"/>
          <w:szCs w:val="32"/>
        </w:rPr>
        <w:t xml:space="preserve">3 </w:t>
      </w:r>
      <w:r>
        <w:rPr>
          <w:rFonts w:hint="eastAsia" w:ascii="宋体" w:hAnsi="宋体" w:eastAsia="仿宋_GB2312" w:cs="宋体"/>
          <w:sz w:val="32"/>
          <w:szCs w:val="32"/>
        </w:rPr>
        <w:t>个工作日内修复完毕；维修期间，供应商应当提供应急设备提交采购人临时使用。若未在规定期限内修复设备而给采购人造成经济损失，由中标人全额承担赔偿责任。</w:t>
      </w:r>
    </w:p>
    <w:p>
      <w:pPr>
        <w:pStyle w:val="36"/>
        <w:widowControl/>
        <w:numPr>
          <w:ilvl w:val="0"/>
          <w:numId w:val="7"/>
        </w:numPr>
        <w:adjustRightInd w:val="0"/>
        <w:snapToGrid w:val="0"/>
        <w:spacing w:line="576" w:lineRule="exact"/>
        <w:ind w:left="0" w:firstLine="640" w:firstLineChars="0"/>
        <w:rPr>
          <w:rFonts w:ascii="宋体" w:hAnsi="宋体" w:eastAsia="仿宋_GB2312" w:cs="宋体"/>
          <w:sz w:val="32"/>
          <w:szCs w:val="32"/>
        </w:rPr>
      </w:pPr>
      <w:r>
        <w:rPr>
          <w:rFonts w:hint="eastAsia" w:ascii="宋体" w:hAnsi="宋体" w:eastAsia="仿宋_GB2312" w:cs="宋体"/>
          <w:sz w:val="32"/>
          <w:szCs w:val="32"/>
        </w:rPr>
        <w:t>交付使用前供应商应当开展首次工作，提供完整的培训计划，派工程师现场操作培训，为采购人培训</w:t>
      </w:r>
      <w:r>
        <w:rPr>
          <w:rFonts w:ascii="宋体" w:hAnsi="宋体" w:eastAsia="仿宋_GB2312" w:cs="宋体"/>
          <w:sz w:val="32"/>
          <w:szCs w:val="32"/>
        </w:rPr>
        <w:t>1</w:t>
      </w:r>
      <w:r>
        <w:rPr>
          <w:rFonts w:hint="eastAsia" w:ascii="宋体" w:hAnsi="宋体" w:eastAsia="仿宋_GB2312" w:cs="宋体"/>
          <w:sz w:val="32"/>
          <w:szCs w:val="32"/>
        </w:rPr>
        <w:t>至</w:t>
      </w:r>
      <w:r>
        <w:rPr>
          <w:rFonts w:ascii="宋体" w:hAnsi="宋体" w:eastAsia="仿宋_GB2312" w:cs="宋体"/>
          <w:sz w:val="32"/>
          <w:szCs w:val="32"/>
        </w:rPr>
        <w:t>2</w:t>
      </w:r>
      <w:r>
        <w:rPr>
          <w:rFonts w:hint="eastAsia" w:ascii="宋体" w:hAnsi="宋体" w:eastAsia="仿宋_GB2312" w:cs="宋体"/>
          <w:sz w:val="32"/>
          <w:szCs w:val="32"/>
        </w:rPr>
        <w:t>名维护、操作人员，直至能独立操作维护设备。</w:t>
      </w:r>
    </w:p>
    <w:p>
      <w:pPr>
        <w:pStyle w:val="36"/>
        <w:widowControl/>
        <w:numPr>
          <w:ilvl w:val="0"/>
          <w:numId w:val="6"/>
        </w:numPr>
        <w:adjustRightInd w:val="0"/>
        <w:snapToGrid w:val="0"/>
        <w:spacing w:line="576" w:lineRule="exact"/>
        <w:ind w:left="0" w:firstLine="640" w:firstLineChars="0"/>
        <w:rPr>
          <w:rFonts w:ascii="宋体" w:hAnsi="宋体" w:eastAsia="楷体" w:cs="宋体"/>
          <w:b/>
          <w:sz w:val="32"/>
          <w:szCs w:val="32"/>
        </w:rPr>
      </w:pPr>
      <w:r>
        <w:rPr>
          <w:rFonts w:hint="eastAsia" w:ascii="宋体" w:hAnsi="宋体" w:eastAsia="楷体" w:cs="宋体"/>
          <w:b/>
          <w:sz w:val="32"/>
          <w:szCs w:val="32"/>
        </w:rPr>
        <w:t>违约责任</w:t>
      </w:r>
    </w:p>
    <w:p>
      <w:pPr>
        <w:pStyle w:val="36"/>
        <w:widowControl/>
        <w:numPr>
          <w:ilvl w:val="0"/>
          <w:numId w:val="8"/>
        </w:numPr>
        <w:adjustRightInd w:val="0"/>
        <w:snapToGrid w:val="0"/>
        <w:spacing w:line="576" w:lineRule="exact"/>
        <w:ind w:firstLineChars="0"/>
        <w:rPr>
          <w:rFonts w:ascii="宋体" w:hAnsi="宋体" w:eastAsia="仿宋_GB2312" w:cs="宋体"/>
          <w:b/>
          <w:sz w:val="32"/>
          <w:szCs w:val="32"/>
        </w:rPr>
      </w:pPr>
      <w:r>
        <w:rPr>
          <w:rFonts w:hint="eastAsia" w:ascii="宋体" w:hAnsi="宋体" w:eastAsia="仿宋_GB2312" w:cs="宋体"/>
          <w:b/>
          <w:sz w:val="32"/>
          <w:szCs w:val="32"/>
        </w:rPr>
        <w:t>甲方违约责任</w:t>
      </w:r>
    </w:p>
    <w:p>
      <w:pPr>
        <w:pStyle w:val="36"/>
        <w:widowControl/>
        <w:numPr>
          <w:ilvl w:val="0"/>
          <w:numId w:val="9"/>
        </w:numPr>
        <w:adjustRightInd w:val="0"/>
        <w:snapToGrid w:val="0"/>
        <w:spacing w:line="576" w:lineRule="exact"/>
        <w:ind w:left="0" w:firstLine="851" w:firstLineChars="0"/>
        <w:rPr>
          <w:rFonts w:ascii="宋体" w:hAnsi="宋体" w:eastAsia="仿宋_GB2312" w:cs="宋体"/>
          <w:sz w:val="32"/>
          <w:szCs w:val="32"/>
        </w:rPr>
      </w:pPr>
      <w:r>
        <w:rPr>
          <w:rFonts w:hint="eastAsia" w:ascii="宋体" w:hAnsi="宋体" w:eastAsia="仿宋_GB2312" w:cs="宋体"/>
          <w:sz w:val="32"/>
          <w:szCs w:val="32"/>
        </w:rPr>
        <w:t>甲方无正当理由拒收货物的，甲方应偿付合同总价千分之十的违约金；</w:t>
      </w:r>
    </w:p>
    <w:p>
      <w:pPr>
        <w:pStyle w:val="36"/>
        <w:widowControl/>
        <w:numPr>
          <w:ilvl w:val="0"/>
          <w:numId w:val="9"/>
        </w:numPr>
        <w:adjustRightInd w:val="0"/>
        <w:snapToGrid w:val="0"/>
        <w:spacing w:line="576" w:lineRule="exact"/>
        <w:ind w:left="0" w:firstLine="851" w:firstLineChars="0"/>
        <w:rPr>
          <w:rFonts w:ascii="宋体" w:hAnsi="宋体" w:eastAsia="仿宋_GB2312" w:cs="宋体"/>
          <w:sz w:val="32"/>
          <w:szCs w:val="32"/>
        </w:rPr>
      </w:pPr>
      <w:r>
        <w:rPr>
          <w:rFonts w:hint="eastAsia" w:ascii="宋体" w:hAnsi="宋体" w:eastAsia="仿宋_GB2312" w:cs="宋体"/>
          <w:sz w:val="32"/>
          <w:szCs w:val="32"/>
        </w:rPr>
        <w:t xml:space="preserve">甲方逾期支付货款的，除应及时付足货款外，应向乙方偿付100元/天的违约金；逾期付款超过 </w:t>
      </w:r>
      <w:r>
        <w:rPr>
          <w:rFonts w:ascii="宋体" w:hAnsi="宋体" w:eastAsia="仿宋_GB2312" w:cs="宋体"/>
          <w:sz w:val="32"/>
          <w:szCs w:val="32"/>
        </w:rPr>
        <w:t>30</w:t>
      </w:r>
      <w:r>
        <w:rPr>
          <w:rFonts w:hint="eastAsia" w:ascii="宋体" w:hAnsi="宋体" w:eastAsia="仿宋_GB2312" w:cs="宋体"/>
          <w:sz w:val="32"/>
          <w:szCs w:val="32"/>
        </w:rPr>
        <w:t>天的，乙方有权终止合同。</w:t>
      </w:r>
    </w:p>
    <w:p>
      <w:pPr>
        <w:pStyle w:val="36"/>
        <w:widowControl/>
        <w:numPr>
          <w:ilvl w:val="0"/>
          <w:numId w:val="8"/>
        </w:numPr>
        <w:adjustRightInd w:val="0"/>
        <w:snapToGrid w:val="0"/>
        <w:spacing w:line="576" w:lineRule="exact"/>
        <w:ind w:firstLineChars="0"/>
        <w:rPr>
          <w:rFonts w:ascii="宋体" w:hAnsi="宋体" w:eastAsia="仿宋_GB2312" w:cs="宋体"/>
          <w:b/>
          <w:sz w:val="32"/>
          <w:szCs w:val="32"/>
        </w:rPr>
      </w:pPr>
      <w:r>
        <w:rPr>
          <w:rFonts w:hint="eastAsia" w:ascii="宋体" w:hAnsi="宋体" w:eastAsia="仿宋_GB2312" w:cs="宋体"/>
          <w:b/>
          <w:sz w:val="32"/>
          <w:szCs w:val="32"/>
        </w:rPr>
        <w:t>乙方违约责任</w:t>
      </w:r>
    </w:p>
    <w:p>
      <w:pPr>
        <w:pStyle w:val="36"/>
        <w:widowControl/>
        <w:numPr>
          <w:ilvl w:val="0"/>
          <w:numId w:val="10"/>
        </w:numPr>
        <w:adjustRightInd w:val="0"/>
        <w:snapToGrid w:val="0"/>
        <w:spacing w:line="576" w:lineRule="exact"/>
        <w:ind w:left="0" w:firstLine="851" w:firstLineChars="0"/>
        <w:rPr>
          <w:rFonts w:ascii="宋体" w:hAnsi="宋体" w:eastAsia="仿宋_GB2312" w:cs="宋体"/>
          <w:sz w:val="32"/>
          <w:szCs w:val="32"/>
        </w:rPr>
      </w:pPr>
      <w:r>
        <w:rPr>
          <w:rFonts w:hint="eastAsia" w:ascii="宋体" w:hAnsi="宋体" w:eastAsia="仿宋_GB2312" w:cs="宋体"/>
          <w:sz w:val="32"/>
          <w:szCs w:val="32"/>
        </w:rPr>
        <w:t>乙方交付的货物质量不符合合同规定的，乙方应向甲方支付合同总价的千分之十的违约金，并须在合同规定的交货时间内更换合格的货物给甲方，否则，视作乙方不能交付货物而违约，按本条下述第“2）”款规定由乙方偿付违约赔偿金给甲方。</w:t>
      </w:r>
    </w:p>
    <w:p>
      <w:pPr>
        <w:pStyle w:val="36"/>
        <w:widowControl/>
        <w:numPr>
          <w:ilvl w:val="0"/>
          <w:numId w:val="10"/>
        </w:numPr>
        <w:adjustRightInd w:val="0"/>
        <w:snapToGrid w:val="0"/>
        <w:spacing w:line="576" w:lineRule="exact"/>
        <w:ind w:left="0" w:firstLine="851" w:firstLineChars="0"/>
        <w:rPr>
          <w:rFonts w:ascii="宋体" w:hAnsi="宋体" w:eastAsia="仿宋_GB2312" w:cs="宋体"/>
          <w:sz w:val="32"/>
          <w:szCs w:val="32"/>
        </w:rPr>
      </w:pPr>
      <w:r>
        <w:rPr>
          <w:rFonts w:hint="eastAsia" w:ascii="宋体" w:hAnsi="宋体" w:eastAsia="仿宋_GB2312" w:cs="宋体"/>
          <w:sz w:val="32"/>
          <w:szCs w:val="32"/>
        </w:rPr>
        <w:t>乙方不能交付货物或逾期交付货物而违约的，除应及时交足货物外，应向甲方偿付100元/天的违约金；逾期交货超过</w:t>
      </w:r>
      <w:r>
        <w:rPr>
          <w:rFonts w:ascii="宋体" w:hAnsi="宋体" w:eastAsia="仿宋_GB2312" w:cs="宋体"/>
          <w:sz w:val="32"/>
          <w:szCs w:val="32"/>
        </w:rPr>
        <w:t>30</w:t>
      </w:r>
      <w:r>
        <w:rPr>
          <w:rFonts w:hint="eastAsia" w:ascii="宋体" w:hAnsi="宋体" w:eastAsia="仿宋_GB2312" w:cs="宋体"/>
          <w:sz w:val="32"/>
          <w:szCs w:val="32"/>
        </w:rPr>
        <w:t>天，甲方有权解除合同，乙方则应按合同总价的千分之十向甲方支付违约金，并须全额退还甲方已经付给乙方的货款及其利息，违约金不足以弥补甲方损失的，乙方还应继续承担赔偿责任，包括但不限于</w:t>
      </w:r>
      <w:r>
        <w:rPr>
          <w:rFonts w:ascii="宋体" w:hAnsi="宋体" w:eastAsia="仿宋_GB2312" w:cs="宋体"/>
          <w:sz w:val="32"/>
          <w:szCs w:val="32"/>
        </w:rPr>
        <w:t>律师费、</w:t>
      </w:r>
      <w:r>
        <w:rPr>
          <w:rFonts w:hint="eastAsia" w:ascii="宋体" w:hAnsi="宋体" w:eastAsia="仿宋_GB2312" w:cs="宋体"/>
          <w:sz w:val="32"/>
          <w:szCs w:val="32"/>
        </w:rPr>
        <w:t>诉讼费、执行费</w:t>
      </w:r>
      <w:r>
        <w:rPr>
          <w:rFonts w:ascii="宋体" w:hAnsi="宋体" w:eastAsia="仿宋_GB2312" w:cs="宋体"/>
          <w:sz w:val="32"/>
          <w:szCs w:val="32"/>
        </w:rPr>
        <w:t>、</w:t>
      </w:r>
      <w:r>
        <w:rPr>
          <w:rFonts w:hint="eastAsia" w:ascii="宋体" w:hAnsi="宋体" w:eastAsia="仿宋_GB2312" w:cs="宋体"/>
          <w:sz w:val="32"/>
          <w:szCs w:val="32"/>
        </w:rPr>
        <w:t>差旅费等。</w:t>
      </w:r>
    </w:p>
    <w:p>
      <w:pPr>
        <w:pStyle w:val="36"/>
        <w:widowControl/>
        <w:numPr>
          <w:ilvl w:val="0"/>
          <w:numId w:val="10"/>
        </w:numPr>
        <w:adjustRightInd w:val="0"/>
        <w:snapToGrid w:val="0"/>
        <w:spacing w:line="576" w:lineRule="exact"/>
        <w:ind w:left="0" w:firstLine="851" w:firstLineChars="0"/>
        <w:rPr>
          <w:rFonts w:ascii="宋体" w:hAnsi="宋体" w:eastAsia="仿宋_GB2312" w:cs="宋体"/>
          <w:sz w:val="32"/>
          <w:szCs w:val="32"/>
        </w:rPr>
      </w:pPr>
      <w:r>
        <w:rPr>
          <w:rFonts w:hint="eastAsia" w:ascii="宋体" w:hAnsi="宋体" w:eastAsia="仿宋_GB2312" w:cs="宋体"/>
          <w:sz w:val="32"/>
          <w:szCs w:val="32"/>
        </w:rPr>
        <w:t xml:space="preserve">乙方货物经甲方送交具有法定资格条件的质量技术监督机构检测后，如检测结果认定货物质量不符合本合同规定标准的，则视为乙方没有按时交货而违约，乙方须在 </w:t>
      </w:r>
      <w:r>
        <w:rPr>
          <w:rFonts w:ascii="宋体" w:hAnsi="宋体" w:eastAsia="仿宋_GB2312" w:cs="宋体"/>
          <w:sz w:val="32"/>
          <w:szCs w:val="32"/>
        </w:rPr>
        <w:t>30</w:t>
      </w:r>
      <w:r>
        <w:rPr>
          <w:rFonts w:hint="eastAsia" w:ascii="宋体" w:hAnsi="宋体" w:eastAsia="仿宋_GB2312" w:cs="宋体"/>
          <w:sz w:val="32"/>
          <w:szCs w:val="32"/>
        </w:rPr>
        <w:t xml:space="preserve"> 天内无条件更换合格的货物，如逾期不能更换合格的货物，甲方有权解除本合同，乙方应按合同总价的千分之十向甲方支付违约金，并须全额退还甲方已经付给乙方的货款及其利息，违约金不足以弥补甲方损失的，乙方还应继续承担赔偿责任，包括但不限于</w:t>
      </w:r>
      <w:r>
        <w:rPr>
          <w:rFonts w:ascii="宋体" w:hAnsi="宋体" w:eastAsia="仿宋_GB2312" w:cs="宋体"/>
          <w:sz w:val="32"/>
          <w:szCs w:val="32"/>
        </w:rPr>
        <w:t>律师费、</w:t>
      </w:r>
      <w:r>
        <w:rPr>
          <w:rFonts w:hint="eastAsia" w:ascii="宋体" w:hAnsi="宋体" w:eastAsia="仿宋_GB2312" w:cs="宋体"/>
          <w:sz w:val="32"/>
          <w:szCs w:val="32"/>
        </w:rPr>
        <w:t>诉讼费、执行费</w:t>
      </w:r>
      <w:r>
        <w:rPr>
          <w:rFonts w:ascii="宋体" w:hAnsi="宋体" w:eastAsia="仿宋_GB2312" w:cs="宋体"/>
          <w:sz w:val="32"/>
          <w:szCs w:val="32"/>
        </w:rPr>
        <w:t>、</w:t>
      </w:r>
      <w:r>
        <w:rPr>
          <w:rFonts w:hint="eastAsia" w:ascii="宋体" w:hAnsi="宋体" w:eastAsia="仿宋_GB2312" w:cs="宋体"/>
          <w:sz w:val="32"/>
          <w:szCs w:val="32"/>
        </w:rPr>
        <w:t>差旅费等。</w:t>
      </w:r>
    </w:p>
    <w:p>
      <w:pPr>
        <w:pStyle w:val="36"/>
        <w:widowControl/>
        <w:numPr>
          <w:ilvl w:val="0"/>
          <w:numId w:val="10"/>
        </w:numPr>
        <w:adjustRightInd w:val="0"/>
        <w:snapToGrid w:val="0"/>
        <w:spacing w:line="576" w:lineRule="exact"/>
        <w:ind w:left="0" w:firstLine="851" w:firstLineChars="0"/>
        <w:rPr>
          <w:rFonts w:ascii="宋体" w:hAnsi="宋体" w:eastAsia="仿宋_GB2312" w:cs="宋体"/>
          <w:sz w:val="32"/>
          <w:szCs w:val="32"/>
        </w:rPr>
      </w:pPr>
      <w:r>
        <w:rPr>
          <w:rFonts w:hint="eastAsia" w:ascii="宋体" w:hAnsi="宋体" w:eastAsia="仿宋_GB2312" w:cs="宋体"/>
          <w:sz w:val="32"/>
          <w:szCs w:val="32"/>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千分之十向甲方支付违约金，全额退还甲方已经付给乙方的货款及其利息，并赔偿因此给甲方造成的一切损失，包括但不限于</w:t>
      </w:r>
      <w:r>
        <w:rPr>
          <w:rFonts w:ascii="宋体" w:hAnsi="宋体" w:eastAsia="仿宋_GB2312" w:cs="宋体"/>
          <w:sz w:val="32"/>
          <w:szCs w:val="32"/>
        </w:rPr>
        <w:t>律师费、</w:t>
      </w:r>
      <w:r>
        <w:rPr>
          <w:rFonts w:hint="eastAsia" w:ascii="宋体" w:hAnsi="宋体" w:eastAsia="仿宋_GB2312" w:cs="宋体"/>
          <w:sz w:val="32"/>
          <w:szCs w:val="32"/>
        </w:rPr>
        <w:t>诉讼费、执行费</w:t>
      </w:r>
      <w:r>
        <w:rPr>
          <w:rFonts w:ascii="宋体" w:hAnsi="宋体" w:eastAsia="仿宋_GB2312" w:cs="宋体"/>
          <w:sz w:val="32"/>
          <w:szCs w:val="32"/>
        </w:rPr>
        <w:t>、</w:t>
      </w:r>
      <w:r>
        <w:rPr>
          <w:rFonts w:hint="eastAsia" w:ascii="宋体" w:hAnsi="宋体" w:eastAsia="仿宋_GB2312" w:cs="宋体"/>
          <w:sz w:val="32"/>
          <w:szCs w:val="32"/>
        </w:rPr>
        <w:t>差旅费等。</w:t>
      </w:r>
    </w:p>
    <w:p>
      <w:pPr>
        <w:pStyle w:val="36"/>
        <w:widowControl/>
        <w:numPr>
          <w:ilvl w:val="0"/>
          <w:numId w:val="10"/>
        </w:numPr>
        <w:adjustRightInd w:val="0"/>
        <w:snapToGrid w:val="0"/>
        <w:spacing w:line="576" w:lineRule="exact"/>
        <w:ind w:left="0" w:firstLine="851" w:firstLineChars="0"/>
        <w:rPr>
          <w:rFonts w:ascii="宋体" w:hAnsi="宋体" w:eastAsia="仿宋_GB2312" w:cs="宋体"/>
          <w:sz w:val="32"/>
          <w:szCs w:val="32"/>
        </w:rPr>
      </w:pPr>
      <w:r>
        <w:rPr>
          <w:rFonts w:hint="eastAsia" w:ascii="宋体" w:hAnsi="宋体" w:eastAsia="仿宋_GB2312" w:cs="宋体"/>
          <w:sz w:val="32"/>
          <w:szCs w:val="32"/>
        </w:rPr>
        <w:t>乙方偿付的违约金不足以弥补甲方损失的，还应按甲方损失尚未弥补的部分，支付赔偿金给甲方。</w:t>
      </w:r>
    </w:p>
    <w:p>
      <w:pPr>
        <w:pStyle w:val="36"/>
        <w:widowControl/>
        <w:numPr>
          <w:ilvl w:val="0"/>
          <w:numId w:val="6"/>
        </w:numPr>
        <w:adjustRightInd w:val="0"/>
        <w:snapToGrid w:val="0"/>
        <w:spacing w:line="576" w:lineRule="exact"/>
        <w:ind w:left="0" w:firstLine="640" w:firstLineChars="0"/>
        <w:rPr>
          <w:rFonts w:ascii="宋体" w:hAnsi="宋体" w:eastAsia="楷体" w:cs="宋体"/>
          <w:b/>
          <w:sz w:val="32"/>
          <w:szCs w:val="32"/>
        </w:rPr>
      </w:pPr>
      <w:r>
        <w:rPr>
          <w:rFonts w:hint="eastAsia" w:ascii="宋体" w:hAnsi="宋体" w:eastAsia="楷体" w:cs="宋体"/>
          <w:b/>
          <w:sz w:val="32"/>
          <w:szCs w:val="32"/>
        </w:rPr>
        <w:t>保密要求</w:t>
      </w:r>
    </w:p>
    <w:p>
      <w:pPr>
        <w:pStyle w:val="36"/>
        <w:widowControl/>
        <w:adjustRightInd w:val="0"/>
        <w:snapToGrid w:val="0"/>
        <w:spacing w:line="576" w:lineRule="exact"/>
        <w:ind w:firstLine="707" w:firstLineChars="221"/>
        <w:rPr>
          <w:rFonts w:hint="eastAsia" w:ascii="宋体" w:hAnsi="宋体" w:eastAsia="仿宋_GB2312" w:cs="宋体"/>
          <w:sz w:val="32"/>
          <w:szCs w:val="32"/>
        </w:rPr>
      </w:pPr>
      <w:r>
        <w:rPr>
          <w:rFonts w:hint="eastAsia" w:ascii="宋体" w:hAnsi="宋体" w:eastAsia="仿宋_GB2312" w:cs="宋体"/>
          <w:sz w:val="32"/>
          <w:szCs w:val="32"/>
        </w:rPr>
        <w:t>中标人应同采购人签订安全保密协议，对在本项目履约过程中获知的信息及履约后产生的成果附有保密责任。</w:t>
      </w:r>
    </w:p>
    <w:p>
      <w:pPr>
        <w:pStyle w:val="4"/>
        <w:numPr>
          <w:ilvl w:val="0"/>
          <w:numId w:val="2"/>
        </w:numPr>
        <w:tabs>
          <w:tab w:val="left" w:pos="1560"/>
        </w:tabs>
        <w:adjustRightInd w:val="0"/>
        <w:snapToGrid w:val="0"/>
        <w:spacing w:beforeLines="50" w:line="576" w:lineRule="exact"/>
        <w:ind w:left="1129"/>
        <w:rPr>
          <w:rFonts w:hint="eastAsia" w:eastAsia="黑体"/>
          <w:b w:val="0"/>
          <w:sz w:val="32"/>
          <w:szCs w:val="32"/>
        </w:rPr>
      </w:pPr>
      <w:r>
        <w:rPr>
          <w:rFonts w:hint="eastAsia" w:eastAsia="黑体"/>
          <w:b w:val="0"/>
          <w:sz w:val="32"/>
          <w:szCs w:val="32"/>
        </w:rPr>
        <w:t>本项目特殊要求</w:t>
      </w:r>
    </w:p>
    <w:p>
      <w:pPr>
        <w:pStyle w:val="36"/>
        <w:widowControl/>
        <w:numPr>
          <w:ilvl w:val="0"/>
          <w:numId w:val="11"/>
        </w:numPr>
        <w:adjustRightInd w:val="0"/>
        <w:snapToGrid w:val="0"/>
        <w:spacing w:line="576" w:lineRule="exact"/>
        <w:ind w:left="0" w:firstLine="707" w:firstLineChars="0"/>
        <w:rPr>
          <w:rFonts w:hint="eastAsia" w:ascii="宋体" w:hAnsi="宋体" w:eastAsia="仿宋_GB2312" w:cs="宋体"/>
          <w:sz w:val="32"/>
          <w:szCs w:val="32"/>
        </w:rPr>
      </w:pPr>
      <w:r>
        <w:rPr>
          <w:rFonts w:hint="eastAsia" w:ascii="宋体" w:hAnsi="宋体" w:eastAsia="仿宋_GB2312" w:cs="宋体"/>
          <w:sz w:val="32"/>
          <w:szCs w:val="32"/>
        </w:rPr>
        <w:t>投标人在投标时出具承诺函并加盖投标人公章。承诺“我方完全理解并接受《</w:t>
      </w:r>
      <w:bookmarkStart w:id="1" w:name="_GoBack"/>
      <w:bookmarkEnd w:id="1"/>
      <w:r>
        <w:rPr>
          <w:rFonts w:hint="eastAsia" w:ascii="宋体" w:hAnsi="宋体" w:eastAsia="仿宋_GB2312" w:cs="宋体"/>
          <w:sz w:val="32"/>
          <w:szCs w:val="32"/>
        </w:rPr>
        <w:t>办公楼6F会议系统维修项目采购需求》载明的各项约定，因我方在项目实施过程中不满足或违反该采购需求造成的一切后果均有我方承担。”</w:t>
      </w:r>
    </w:p>
    <w:p>
      <w:pPr>
        <w:pStyle w:val="36"/>
        <w:widowControl/>
        <w:numPr>
          <w:ilvl w:val="0"/>
          <w:numId w:val="11"/>
        </w:numPr>
        <w:adjustRightInd w:val="0"/>
        <w:snapToGrid w:val="0"/>
        <w:spacing w:line="576" w:lineRule="exact"/>
        <w:ind w:left="0" w:firstLine="707" w:firstLineChars="0"/>
        <w:rPr>
          <w:rFonts w:hint="eastAsia" w:ascii="宋体" w:hAnsi="宋体" w:eastAsia="仿宋_GB2312" w:cs="宋体"/>
          <w:sz w:val="32"/>
          <w:szCs w:val="32"/>
        </w:rPr>
      </w:pPr>
      <w:r>
        <w:rPr>
          <w:rFonts w:hint="eastAsia" w:ascii="宋体" w:hAnsi="宋体" w:eastAsia="仿宋_GB2312" w:cs="宋体"/>
          <w:sz w:val="32"/>
          <w:szCs w:val="32"/>
        </w:rPr>
        <w:t>实施本项目的主要投标产品，在投标时必须提供产品彩页及技术参数配置网页截图，并加盖投标人公章。具体包括：主音箱、嵌入式隐形智能音箱、会议吸顶音箱、主音箱功放、补声音箱功放、调音台、反馈抑制器、手拉手会议话筒、手拉手会议主机、无线手持话筒（含接收器和发射器）、设备机柜。</w:t>
      </w:r>
    </w:p>
    <w:p>
      <w:pPr>
        <w:pStyle w:val="36"/>
        <w:widowControl/>
        <w:adjustRightInd w:val="0"/>
        <w:snapToGrid w:val="0"/>
        <w:spacing w:line="576" w:lineRule="exact"/>
        <w:ind w:left="707" w:firstLine="0" w:firstLineChars="0"/>
        <w:rPr>
          <w:rFonts w:hint="eastAsia" w:ascii="宋体" w:hAnsi="宋体" w:eastAsia="仿宋_GB2312" w:cs="宋体"/>
          <w:sz w:val="32"/>
          <w:szCs w:val="32"/>
        </w:rPr>
      </w:pPr>
    </w:p>
    <w:p>
      <w:pPr>
        <w:pStyle w:val="36"/>
        <w:widowControl/>
        <w:adjustRightInd w:val="0"/>
        <w:snapToGrid w:val="0"/>
        <w:spacing w:line="576" w:lineRule="exact"/>
        <w:ind w:left="707" w:firstLine="0" w:firstLineChars="0"/>
        <w:rPr>
          <w:rFonts w:hint="eastAsia" w:ascii="宋体" w:hAnsi="宋体" w:eastAsia="仿宋_GB2312" w:cs="宋体"/>
          <w:sz w:val="32"/>
          <w:szCs w:val="32"/>
        </w:rPr>
      </w:pPr>
    </w:p>
    <w:p>
      <w:pPr>
        <w:pStyle w:val="36"/>
        <w:widowControl/>
        <w:adjustRightInd w:val="0"/>
        <w:snapToGrid w:val="0"/>
        <w:spacing w:line="576" w:lineRule="exact"/>
        <w:ind w:left="707" w:firstLine="2835" w:firstLineChars="886"/>
        <w:jc w:val="center"/>
        <w:rPr>
          <w:rFonts w:hint="eastAsia" w:ascii="宋体" w:hAnsi="宋体" w:eastAsia="仿宋_GB2312" w:cs="宋体"/>
          <w:sz w:val="32"/>
          <w:szCs w:val="32"/>
        </w:rPr>
      </w:pPr>
      <w:r>
        <w:rPr>
          <w:rFonts w:hint="eastAsia" w:ascii="宋体" w:hAnsi="宋体" w:eastAsia="仿宋_GB2312" w:cs="宋体"/>
          <w:sz w:val="32"/>
          <w:szCs w:val="32"/>
        </w:rPr>
        <w:t>信息技术科</w:t>
      </w:r>
    </w:p>
    <w:p>
      <w:pPr>
        <w:pStyle w:val="36"/>
        <w:widowControl/>
        <w:adjustRightInd w:val="0"/>
        <w:snapToGrid w:val="0"/>
        <w:spacing w:line="576" w:lineRule="exact"/>
        <w:ind w:left="707" w:firstLine="2835" w:firstLineChars="886"/>
        <w:jc w:val="center"/>
        <w:rPr>
          <w:rFonts w:ascii="宋体" w:hAnsi="宋体" w:eastAsia="仿宋_GB2312" w:cs="宋体"/>
          <w:sz w:val="32"/>
          <w:szCs w:val="32"/>
        </w:rPr>
      </w:pPr>
      <w:r>
        <w:rPr>
          <w:rFonts w:hint="eastAsia" w:ascii="宋体" w:hAnsi="宋体" w:eastAsia="仿宋_GB2312" w:cs="宋体"/>
          <w:sz w:val="32"/>
          <w:szCs w:val="32"/>
        </w:rPr>
        <w:t>2025年2月27日</w:t>
      </w:r>
    </w:p>
    <w:sectPr>
      <w:footerReference r:id="rId3" w:type="default"/>
      <w:pgSz w:w="11905" w:h="16838"/>
      <w:pgMar w:top="1588" w:right="1418" w:bottom="1418" w:left="1418" w:header="850" w:footer="992" w:gutter="0"/>
      <w:pgNumType w:fmt="numberInDash"/>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Calibri Light">
    <w:altName w:val="DejaVu Sans"/>
    <w:panose1 w:val="020F0302020204030204"/>
    <w:charset w:val="00"/>
    <w:family w:val="swiss"/>
    <w:pitch w:val="default"/>
    <w:sig w:usb0="00000000" w:usb1="00000000" w:usb2="00000000" w:usb3="00000000" w:csb0="0000019F" w:csb1="00000000"/>
  </w:font>
  <w:font w:name="等线">
    <w:altName w:val="华文仿宋"/>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Tms Rmn">
    <w:altName w:val="FreeSerif"/>
    <w:panose1 w:val="02020603040505020304"/>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汉仪仿宋简">
    <w:panose1 w:val="02010600000101010101"/>
    <w:charset w:val="86"/>
    <w:family w:val="auto"/>
    <w:pitch w:val="default"/>
    <w:sig w:usb0="00000001" w:usb1="080E0800" w:usb2="00000002" w:usb3="00000000" w:csb0="00040000" w:csb1="00000000"/>
  </w:font>
  <w:font w:name="等线 Light">
    <w:altName w:val="华文仿宋"/>
    <w:panose1 w:val="00000000000000000000"/>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02905"/>
      <w:docPartObj>
        <w:docPartGallery w:val="AutoText"/>
      </w:docPartObj>
    </w:sdtPr>
    <w:sdtEndPr>
      <w:rPr>
        <w:rFonts w:asciiTheme="minorEastAsia" w:hAnsiTheme="minorEastAsia"/>
        <w:sz w:val="24"/>
        <w:szCs w:val="24"/>
      </w:rPr>
    </w:sdtEndPr>
    <w:sdtContent>
      <w:p>
        <w:pPr>
          <w:pStyle w:val="20"/>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1 -</w:t>
        </w:r>
        <w:r>
          <w:rPr>
            <w:rFonts w:asciiTheme="minorEastAsia" w:hAnsiTheme="minorEastAsia"/>
            <w:sz w:val="24"/>
            <w:szCs w:val="24"/>
          </w:rPr>
          <w:fldChar w:fldCharType="end"/>
        </w:r>
      </w:p>
    </w:sdtContent>
  </w:sdt>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2AE3A"/>
    <w:multiLevelType w:val="singleLevel"/>
    <w:tmpl w:val="A812AE3A"/>
    <w:lvl w:ilvl="0" w:tentative="0">
      <w:start w:val="1"/>
      <w:numFmt w:val="decimal"/>
      <w:pStyle w:val="3"/>
      <w:lvlText w:val="%1."/>
      <w:lvlJc w:val="left"/>
      <w:pPr>
        <w:tabs>
          <w:tab w:val="left" w:pos="312"/>
        </w:tabs>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abstractNum>
  <w:abstractNum w:abstractNumId="1">
    <w:nsid w:val="0FE87C66"/>
    <w:multiLevelType w:val="multilevel"/>
    <w:tmpl w:val="0FE87C66"/>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E0F6009"/>
    <w:multiLevelType w:val="multilevel"/>
    <w:tmpl w:val="1E0F6009"/>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EFE1B4A"/>
    <w:multiLevelType w:val="multilevel"/>
    <w:tmpl w:val="1EFE1B4A"/>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000678D"/>
    <w:multiLevelType w:val="multilevel"/>
    <w:tmpl w:val="2000678D"/>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67C6BD7"/>
    <w:multiLevelType w:val="multilevel"/>
    <w:tmpl w:val="367C6BD7"/>
    <w:lvl w:ilvl="0" w:tentative="0">
      <w:start w:val="1"/>
      <w:numFmt w:val="decimal"/>
      <w:lvlText w:val="%1."/>
      <w:lvlJc w:val="left"/>
      <w:pPr>
        <w:ind w:left="1127" w:hanging="420"/>
      </w:pPr>
    </w:lvl>
    <w:lvl w:ilvl="1" w:tentative="0">
      <w:start w:val="1"/>
      <w:numFmt w:val="lowerLetter"/>
      <w:lvlText w:val="%2)"/>
      <w:lvlJc w:val="left"/>
      <w:pPr>
        <w:ind w:left="1547" w:hanging="420"/>
      </w:pPr>
    </w:lvl>
    <w:lvl w:ilvl="2" w:tentative="0">
      <w:start w:val="1"/>
      <w:numFmt w:val="lowerRoman"/>
      <w:lvlText w:val="%3."/>
      <w:lvlJc w:val="right"/>
      <w:pPr>
        <w:ind w:left="1967" w:hanging="420"/>
      </w:pPr>
    </w:lvl>
    <w:lvl w:ilvl="3" w:tentative="0">
      <w:start w:val="1"/>
      <w:numFmt w:val="decimal"/>
      <w:lvlText w:val="%4."/>
      <w:lvlJc w:val="left"/>
      <w:pPr>
        <w:ind w:left="2387" w:hanging="420"/>
      </w:pPr>
    </w:lvl>
    <w:lvl w:ilvl="4" w:tentative="0">
      <w:start w:val="1"/>
      <w:numFmt w:val="lowerLetter"/>
      <w:lvlText w:val="%5)"/>
      <w:lvlJc w:val="left"/>
      <w:pPr>
        <w:ind w:left="2807" w:hanging="420"/>
      </w:pPr>
    </w:lvl>
    <w:lvl w:ilvl="5" w:tentative="0">
      <w:start w:val="1"/>
      <w:numFmt w:val="lowerRoman"/>
      <w:lvlText w:val="%6."/>
      <w:lvlJc w:val="right"/>
      <w:pPr>
        <w:ind w:left="3227" w:hanging="420"/>
      </w:pPr>
    </w:lvl>
    <w:lvl w:ilvl="6" w:tentative="0">
      <w:start w:val="1"/>
      <w:numFmt w:val="decimal"/>
      <w:lvlText w:val="%7."/>
      <w:lvlJc w:val="left"/>
      <w:pPr>
        <w:ind w:left="3647" w:hanging="420"/>
      </w:pPr>
    </w:lvl>
    <w:lvl w:ilvl="7" w:tentative="0">
      <w:start w:val="1"/>
      <w:numFmt w:val="lowerLetter"/>
      <w:lvlText w:val="%8)"/>
      <w:lvlJc w:val="left"/>
      <w:pPr>
        <w:ind w:left="4067" w:hanging="420"/>
      </w:pPr>
    </w:lvl>
    <w:lvl w:ilvl="8" w:tentative="0">
      <w:start w:val="1"/>
      <w:numFmt w:val="lowerRoman"/>
      <w:lvlText w:val="%9."/>
      <w:lvlJc w:val="right"/>
      <w:pPr>
        <w:ind w:left="4487" w:hanging="420"/>
      </w:pPr>
    </w:lvl>
  </w:abstractNum>
  <w:abstractNum w:abstractNumId="6">
    <w:nsid w:val="3C6B1329"/>
    <w:multiLevelType w:val="multilevel"/>
    <w:tmpl w:val="3C6B1329"/>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649736E6"/>
    <w:multiLevelType w:val="multilevel"/>
    <w:tmpl w:val="649736E6"/>
    <w:lvl w:ilvl="0" w:tentative="0">
      <w:start w:val="1"/>
      <w:numFmt w:val="decimal"/>
      <w:lvlText w:val="%1."/>
      <w:lvlJc w:val="left"/>
      <w:pPr>
        <w:ind w:left="1127" w:hanging="420"/>
      </w:pPr>
    </w:lvl>
    <w:lvl w:ilvl="1" w:tentative="0">
      <w:start w:val="1"/>
      <w:numFmt w:val="lowerLetter"/>
      <w:lvlText w:val="%2)"/>
      <w:lvlJc w:val="left"/>
      <w:pPr>
        <w:ind w:left="1547" w:hanging="420"/>
      </w:pPr>
    </w:lvl>
    <w:lvl w:ilvl="2" w:tentative="0">
      <w:start w:val="1"/>
      <w:numFmt w:val="lowerRoman"/>
      <w:lvlText w:val="%3."/>
      <w:lvlJc w:val="right"/>
      <w:pPr>
        <w:ind w:left="1967" w:hanging="420"/>
      </w:pPr>
    </w:lvl>
    <w:lvl w:ilvl="3" w:tentative="0">
      <w:start w:val="1"/>
      <w:numFmt w:val="decimal"/>
      <w:lvlText w:val="%4."/>
      <w:lvlJc w:val="left"/>
      <w:pPr>
        <w:ind w:left="2387" w:hanging="420"/>
      </w:pPr>
    </w:lvl>
    <w:lvl w:ilvl="4" w:tentative="0">
      <w:start w:val="1"/>
      <w:numFmt w:val="lowerLetter"/>
      <w:lvlText w:val="%5)"/>
      <w:lvlJc w:val="left"/>
      <w:pPr>
        <w:ind w:left="2807" w:hanging="420"/>
      </w:pPr>
    </w:lvl>
    <w:lvl w:ilvl="5" w:tentative="0">
      <w:start w:val="1"/>
      <w:numFmt w:val="lowerRoman"/>
      <w:lvlText w:val="%6."/>
      <w:lvlJc w:val="right"/>
      <w:pPr>
        <w:ind w:left="3227" w:hanging="420"/>
      </w:pPr>
    </w:lvl>
    <w:lvl w:ilvl="6" w:tentative="0">
      <w:start w:val="1"/>
      <w:numFmt w:val="decimal"/>
      <w:lvlText w:val="%7."/>
      <w:lvlJc w:val="left"/>
      <w:pPr>
        <w:ind w:left="3647" w:hanging="420"/>
      </w:pPr>
    </w:lvl>
    <w:lvl w:ilvl="7" w:tentative="0">
      <w:start w:val="1"/>
      <w:numFmt w:val="lowerLetter"/>
      <w:lvlText w:val="%8)"/>
      <w:lvlJc w:val="left"/>
      <w:pPr>
        <w:ind w:left="4067" w:hanging="420"/>
      </w:pPr>
    </w:lvl>
    <w:lvl w:ilvl="8" w:tentative="0">
      <w:start w:val="1"/>
      <w:numFmt w:val="lowerRoman"/>
      <w:lvlText w:val="%9."/>
      <w:lvlJc w:val="right"/>
      <w:pPr>
        <w:ind w:left="4487" w:hanging="420"/>
      </w:pPr>
    </w:lvl>
  </w:abstractNum>
  <w:abstractNum w:abstractNumId="8">
    <w:nsid w:val="6B0D1134"/>
    <w:multiLevelType w:val="multilevel"/>
    <w:tmpl w:val="6B0D11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C6B5E39"/>
    <w:multiLevelType w:val="multilevel"/>
    <w:tmpl w:val="7C6B5E39"/>
    <w:lvl w:ilvl="0" w:tentative="0">
      <w:start w:val="1"/>
      <w:numFmt w:val="chineseCountingThousand"/>
      <w:lvlText w:val="%1、"/>
      <w:lvlJc w:val="left"/>
      <w:pPr>
        <w:ind w:left="1127" w:hanging="420"/>
      </w:pPr>
    </w:lvl>
    <w:lvl w:ilvl="1" w:tentative="0">
      <w:start w:val="1"/>
      <w:numFmt w:val="lowerLetter"/>
      <w:lvlText w:val="%2)"/>
      <w:lvlJc w:val="left"/>
      <w:pPr>
        <w:ind w:left="1547" w:hanging="420"/>
      </w:pPr>
    </w:lvl>
    <w:lvl w:ilvl="2" w:tentative="0">
      <w:start w:val="1"/>
      <w:numFmt w:val="lowerRoman"/>
      <w:lvlText w:val="%3."/>
      <w:lvlJc w:val="right"/>
      <w:pPr>
        <w:ind w:left="1967" w:hanging="420"/>
      </w:pPr>
    </w:lvl>
    <w:lvl w:ilvl="3" w:tentative="0">
      <w:start w:val="1"/>
      <w:numFmt w:val="decimal"/>
      <w:lvlText w:val="%4."/>
      <w:lvlJc w:val="left"/>
      <w:pPr>
        <w:ind w:left="2387" w:hanging="420"/>
      </w:pPr>
    </w:lvl>
    <w:lvl w:ilvl="4" w:tentative="0">
      <w:start w:val="1"/>
      <w:numFmt w:val="lowerLetter"/>
      <w:lvlText w:val="%5)"/>
      <w:lvlJc w:val="left"/>
      <w:pPr>
        <w:ind w:left="2807" w:hanging="420"/>
      </w:pPr>
    </w:lvl>
    <w:lvl w:ilvl="5" w:tentative="0">
      <w:start w:val="1"/>
      <w:numFmt w:val="lowerRoman"/>
      <w:lvlText w:val="%6."/>
      <w:lvlJc w:val="right"/>
      <w:pPr>
        <w:ind w:left="3227" w:hanging="420"/>
      </w:pPr>
    </w:lvl>
    <w:lvl w:ilvl="6" w:tentative="0">
      <w:start w:val="1"/>
      <w:numFmt w:val="decimal"/>
      <w:lvlText w:val="%7."/>
      <w:lvlJc w:val="left"/>
      <w:pPr>
        <w:ind w:left="3647" w:hanging="420"/>
      </w:pPr>
    </w:lvl>
    <w:lvl w:ilvl="7" w:tentative="0">
      <w:start w:val="1"/>
      <w:numFmt w:val="lowerLetter"/>
      <w:lvlText w:val="%8)"/>
      <w:lvlJc w:val="left"/>
      <w:pPr>
        <w:ind w:left="4067" w:hanging="420"/>
      </w:pPr>
    </w:lvl>
    <w:lvl w:ilvl="8" w:tentative="0">
      <w:start w:val="1"/>
      <w:numFmt w:val="lowerRoman"/>
      <w:lvlText w:val="%9."/>
      <w:lvlJc w:val="right"/>
      <w:pPr>
        <w:ind w:left="4487" w:hanging="420"/>
      </w:pPr>
    </w:lvl>
  </w:abstractNum>
  <w:abstractNum w:abstractNumId="10">
    <w:nsid w:val="7CB20791"/>
    <w:multiLevelType w:val="multilevel"/>
    <w:tmpl w:val="7CB20791"/>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9"/>
  </w:num>
  <w:num w:numId="3">
    <w:abstractNumId w:val="7"/>
  </w:num>
  <w:num w:numId="4">
    <w:abstractNumId w:val="8"/>
  </w:num>
  <w:num w:numId="5">
    <w:abstractNumId w:val="3"/>
  </w:num>
  <w:num w:numId="6">
    <w:abstractNumId w:val="6"/>
  </w:num>
  <w:num w:numId="7">
    <w:abstractNumId w:val="4"/>
  </w:num>
  <w:num w:numId="8">
    <w:abstractNumId w:val="1"/>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6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zM5ODZmMDJiMmRkYTg5Y2RiMTc4NmIxODA2MzYifQ=="/>
  </w:docVars>
  <w:rsids>
    <w:rsidRoot w:val="21FB6A5C"/>
    <w:rsid w:val="00015A98"/>
    <w:rsid w:val="000424A7"/>
    <w:rsid w:val="00077107"/>
    <w:rsid w:val="00094F8A"/>
    <w:rsid w:val="000A2B02"/>
    <w:rsid w:val="000B1F5A"/>
    <w:rsid w:val="000B5C30"/>
    <w:rsid w:val="000B6B89"/>
    <w:rsid w:val="000C4EC1"/>
    <w:rsid w:val="000D3F3E"/>
    <w:rsid w:val="000E1686"/>
    <w:rsid w:val="000E5323"/>
    <w:rsid w:val="000F17F4"/>
    <w:rsid w:val="000F3E7A"/>
    <w:rsid w:val="001072E0"/>
    <w:rsid w:val="00107AF4"/>
    <w:rsid w:val="0011327F"/>
    <w:rsid w:val="001265A0"/>
    <w:rsid w:val="00134084"/>
    <w:rsid w:val="0014316E"/>
    <w:rsid w:val="00175871"/>
    <w:rsid w:val="00176F49"/>
    <w:rsid w:val="00187571"/>
    <w:rsid w:val="001B2548"/>
    <w:rsid w:val="001B4FE5"/>
    <w:rsid w:val="001C253E"/>
    <w:rsid w:val="001D74F0"/>
    <w:rsid w:val="0020460A"/>
    <w:rsid w:val="002276E7"/>
    <w:rsid w:val="00243969"/>
    <w:rsid w:val="002B29DE"/>
    <w:rsid w:val="002C0152"/>
    <w:rsid w:val="002C3633"/>
    <w:rsid w:val="002D3BE4"/>
    <w:rsid w:val="002D7090"/>
    <w:rsid w:val="002E739B"/>
    <w:rsid w:val="002F6261"/>
    <w:rsid w:val="003328D1"/>
    <w:rsid w:val="00353E65"/>
    <w:rsid w:val="00375DB6"/>
    <w:rsid w:val="00386256"/>
    <w:rsid w:val="003B3DC4"/>
    <w:rsid w:val="003B569F"/>
    <w:rsid w:val="003B716B"/>
    <w:rsid w:val="003C1EAA"/>
    <w:rsid w:val="003E241C"/>
    <w:rsid w:val="003E52FD"/>
    <w:rsid w:val="0040268E"/>
    <w:rsid w:val="00412F95"/>
    <w:rsid w:val="0045446D"/>
    <w:rsid w:val="00466DF9"/>
    <w:rsid w:val="004735E3"/>
    <w:rsid w:val="004752B7"/>
    <w:rsid w:val="004976E8"/>
    <w:rsid w:val="004A0690"/>
    <w:rsid w:val="004A2889"/>
    <w:rsid w:val="004B1681"/>
    <w:rsid w:val="004C69BC"/>
    <w:rsid w:val="004C73B7"/>
    <w:rsid w:val="004D771E"/>
    <w:rsid w:val="004F21ED"/>
    <w:rsid w:val="00503E07"/>
    <w:rsid w:val="005225F9"/>
    <w:rsid w:val="00533EC5"/>
    <w:rsid w:val="0054781B"/>
    <w:rsid w:val="005628AB"/>
    <w:rsid w:val="005641F1"/>
    <w:rsid w:val="005773FE"/>
    <w:rsid w:val="0058513C"/>
    <w:rsid w:val="005A4140"/>
    <w:rsid w:val="005B0464"/>
    <w:rsid w:val="005C32DD"/>
    <w:rsid w:val="005C739F"/>
    <w:rsid w:val="005D55ED"/>
    <w:rsid w:val="005E1E2C"/>
    <w:rsid w:val="00601F8D"/>
    <w:rsid w:val="00622CA4"/>
    <w:rsid w:val="0062476A"/>
    <w:rsid w:val="00631A3A"/>
    <w:rsid w:val="00637B2C"/>
    <w:rsid w:val="00641085"/>
    <w:rsid w:val="00652F06"/>
    <w:rsid w:val="00667F85"/>
    <w:rsid w:val="006A1053"/>
    <w:rsid w:val="006A5B6A"/>
    <w:rsid w:val="006D455C"/>
    <w:rsid w:val="00736200"/>
    <w:rsid w:val="007541EB"/>
    <w:rsid w:val="0076258F"/>
    <w:rsid w:val="007816D4"/>
    <w:rsid w:val="00786F3A"/>
    <w:rsid w:val="007C1DCC"/>
    <w:rsid w:val="007C335D"/>
    <w:rsid w:val="007D1D01"/>
    <w:rsid w:val="007D26FD"/>
    <w:rsid w:val="007F6051"/>
    <w:rsid w:val="008041C0"/>
    <w:rsid w:val="0080666F"/>
    <w:rsid w:val="008074BA"/>
    <w:rsid w:val="0083296B"/>
    <w:rsid w:val="00846147"/>
    <w:rsid w:val="00874AEC"/>
    <w:rsid w:val="008838DA"/>
    <w:rsid w:val="00885B95"/>
    <w:rsid w:val="0089009D"/>
    <w:rsid w:val="008C234F"/>
    <w:rsid w:val="009001E6"/>
    <w:rsid w:val="009133D2"/>
    <w:rsid w:val="009135E9"/>
    <w:rsid w:val="00917064"/>
    <w:rsid w:val="00921187"/>
    <w:rsid w:val="00933626"/>
    <w:rsid w:val="00961AD6"/>
    <w:rsid w:val="00976F31"/>
    <w:rsid w:val="00985017"/>
    <w:rsid w:val="00985058"/>
    <w:rsid w:val="009A55CE"/>
    <w:rsid w:val="009A55DA"/>
    <w:rsid w:val="009A626B"/>
    <w:rsid w:val="009A6A39"/>
    <w:rsid w:val="009B5A47"/>
    <w:rsid w:val="00A000DA"/>
    <w:rsid w:val="00A2707F"/>
    <w:rsid w:val="00A40B7E"/>
    <w:rsid w:val="00A430AF"/>
    <w:rsid w:val="00A60E03"/>
    <w:rsid w:val="00A6457B"/>
    <w:rsid w:val="00A70AC5"/>
    <w:rsid w:val="00A76C53"/>
    <w:rsid w:val="00A93235"/>
    <w:rsid w:val="00AB22FF"/>
    <w:rsid w:val="00AF307D"/>
    <w:rsid w:val="00AF548D"/>
    <w:rsid w:val="00B013D9"/>
    <w:rsid w:val="00B10658"/>
    <w:rsid w:val="00B138E3"/>
    <w:rsid w:val="00B42E56"/>
    <w:rsid w:val="00B43B1F"/>
    <w:rsid w:val="00B56064"/>
    <w:rsid w:val="00B833F7"/>
    <w:rsid w:val="00B8749C"/>
    <w:rsid w:val="00B97285"/>
    <w:rsid w:val="00BC471E"/>
    <w:rsid w:val="00BE451B"/>
    <w:rsid w:val="00C1072A"/>
    <w:rsid w:val="00C20EA8"/>
    <w:rsid w:val="00C23289"/>
    <w:rsid w:val="00C30994"/>
    <w:rsid w:val="00C319DF"/>
    <w:rsid w:val="00C36620"/>
    <w:rsid w:val="00C407F9"/>
    <w:rsid w:val="00C53058"/>
    <w:rsid w:val="00C5330E"/>
    <w:rsid w:val="00C61804"/>
    <w:rsid w:val="00C66187"/>
    <w:rsid w:val="00C77640"/>
    <w:rsid w:val="00C83910"/>
    <w:rsid w:val="00C96F74"/>
    <w:rsid w:val="00CC01EC"/>
    <w:rsid w:val="00CE1A63"/>
    <w:rsid w:val="00CF3398"/>
    <w:rsid w:val="00D05587"/>
    <w:rsid w:val="00D138E8"/>
    <w:rsid w:val="00D14A21"/>
    <w:rsid w:val="00D3328A"/>
    <w:rsid w:val="00D66B52"/>
    <w:rsid w:val="00DA47A5"/>
    <w:rsid w:val="00DA5F36"/>
    <w:rsid w:val="00DB1F16"/>
    <w:rsid w:val="00DB231B"/>
    <w:rsid w:val="00DB7516"/>
    <w:rsid w:val="00DF425F"/>
    <w:rsid w:val="00E00087"/>
    <w:rsid w:val="00E03977"/>
    <w:rsid w:val="00E04068"/>
    <w:rsid w:val="00E0659D"/>
    <w:rsid w:val="00E26BF2"/>
    <w:rsid w:val="00E40C46"/>
    <w:rsid w:val="00E6080E"/>
    <w:rsid w:val="00E6710E"/>
    <w:rsid w:val="00E67908"/>
    <w:rsid w:val="00E67CF2"/>
    <w:rsid w:val="00E82711"/>
    <w:rsid w:val="00E85488"/>
    <w:rsid w:val="00EA5887"/>
    <w:rsid w:val="00ED24B1"/>
    <w:rsid w:val="00EE28FB"/>
    <w:rsid w:val="00EE7178"/>
    <w:rsid w:val="00EF05B5"/>
    <w:rsid w:val="00EF2090"/>
    <w:rsid w:val="00F0709A"/>
    <w:rsid w:val="00F136BF"/>
    <w:rsid w:val="00F21F45"/>
    <w:rsid w:val="00F56738"/>
    <w:rsid w:val="00F804E2"/>
    <w:rsid w:val="00F80AEB"/>
    <w:rsid w:val="00FA43E3"/>
    <w:rsid w:val="00FB40F1"/>
    <w:rsid w:val="03BD5BBB"/>
    <w:rsid w:val="097A4430"/>
    <w:rsid w:val="145C01B3"/>
    <w:rsid w:val="155F4416"/>
    <w:rsid w:val="15DC1F6D"/>
    <w:rsid w:val="21FB6A5C"/>
    <w:rsid w:val="24B0092D"/>
    <w:rsid w:val="27FC27CF"/>
    <w:rsid w:val="35953EF0"/>
    <w:rsid w:val="3DB12122"/>
    <w:rsid w:val="3EBB55F6"/>
    <w:rsid w:val="4144758D"/>
    <w:rsid w:val="4C8C2152"/>
    <w:rsid w:val="4E914041"/>
    <w:rsid w:val="63414F5F"/>
    <w:rsid w:val="666C5BF4"/>
    <w:rsid w:val="6A3202B5"/>
    <w:rsid w:val="6C0A6027"/>
    <w:rsid w:val="715E1F94"/>
    <w:rsid w:val="78AF0AEF"/>
    <w:rsid w:val="DEE7C7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nhideWhenUsed="0" w:uiPriority="0" w:semiHidden="0" w:name="heading 5"/>
    <w:lsdException w:qFormat="1" w:uiPriority="0" w:name="heading 6"/>
    <w:lsdException w:qFormat="1" w:unhideWhenUsed="0" w:uiPriority="1" w:semiHidden="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numPr>
        <w:ilvl w:val="0"/>
        <w:numId w:val="1"/>
      </w:numPr>
      <w:outlineLvl w:val="0"/>
    </w:pPr>
    <w:rPr>
      <w:rFonts w:ascii="宋体" w:hAnsi="宋体" w:cs="宋体"/>
      <w:b/>
      <w:bCs/>
      <w:kern w:val="0"/>
      <w:sz w:val="32"/>
      <w:szCs w:val="32"/>
    </w:rPr>
  </w:style>
  <w:style w:type="paragraph" w:styleId="4">
    <w:name w:val="heading 2"/>
    <w:basedOn w:val="1"/>
    <w:next w:val="1"/>
    <w:unhideWhenUsed/>
    <w:qFormat/>
    <w:uiPriority w:val="0"/>
    <w:pPr>
      <w:outlineLvl w:val="1"/>
    </w:pPr>
    <w:rPr>
      <w:rFonts w:ascii="宋体" w:hAnsi="宋体" w:eastAsia="宋体" w:cs="宋体"/>
      <w:b/>
      <w:bCs/>
      <w:sz w:val="30"/>
      <w:szCs w:val="30"/>
    </w:rPr>
  </w:style>
  <w:style w:type="paragraph" w:styleId="5">
    <w:name w:val="heading 3"/>
    <w:basedOn w:val="6"/>
    <w:next w:val="1"/>
    <w:unhideWhenUsed/>
    <w:qFormat/>
    <w:uiPriority w:val="9"/>
    <w:pPr>
      <w:keepNext/>
      <w:keepLines/>
      <w:spacing w:before="260" w:after="260" w:line="416" w:lineRule="auto"/>
      <w:outlineLvl w:val="2"/>
    </w:pPr>
    <w:rPr>
      <w:sz w:val="32"/>
      <w:szCs w:val="32"/>
    </w:rPr>
  </w:style>
  <w:style w:type="paragraph" w:styleId="6">
    <w:name w:val="heading 4"/>
    <w:basedOn w:val="1"/>
    <w:next w:val="1"/>
    <w:unhideWhenUsed/>
    <w:qFormat/>
    <w:uiPriority w:val="0"/>
    <w:pPr>
      <w:outlineLvl w:val="3"/>
    </w:pPr>
    <w:rPr>
      <w:rFonts w:ascii="宋体" w:hAnsi="宋体" w:eastAsia="宋体" w:cs="宋体"/>
      <w:b/>
      <w:bCs/>
      <w:sz w:val="30"/>
      <w:szCs w:val="30"/>
    </w:rPr>
  </w:style>
  <w:style w:type="paragraph" w:styleId="7">
    <w:name w:val="heading 5"/>
    <w:basedOn w:val="1"/>
    <w:next w:val="1"/>
    <w:qFormat/>
    <w:uiPriority w:val="0"/>
    <w:pPr>
      <w:topLinePunct/>
      <w:adjustRightInd w:val="0"/>
      <w:outlineLvl w:val="4"/>
    </w:pPr>
    <w:rPr>
      <w:rFonts w:ascii="宋体" w:hAnsi="宋体" w:cs="Arial"/>
      <w:sz w:val="28"/>
      <w:szCs w:val="20"/>
    </w:rPr>
  </w:style>
  <w:style w:type="paragraph" w:styleId="8">
    <w:name w:val="heading 7"/>
    <w:basedOn w:val="1"/>
    <w:next w:val="1"/>
    <w:qFormat/>
    <w:uiPriority w:val="1"/>
    <w:pPr>
      <w:ind w:left="278"/>
      <w:outlineLvl w:val="6"/>
    </w:pPr>
    <w:rPr>
      <w:rFonts w:ascii="仿宋" w:hAnsi="仿宋" w:eastAsia="仿宋" w:cs="仿宋"/>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qFormat/>
    <w:uiPriority w:val="99"/>
    <w:pPr>
      <w:spacing w:after="120"/>
    </w:pPr>
    <w:rPr>
      <w:rFonts w:ascii="Times New Roman" w:hAnsi="Times New Roman" w:eastAsia="宋体" w:cs="Times New Roman"/>
      <w:sz w:val="24"/>
    </w:rPr>
  </w:style>
  <w:style w:type="paragraph" w:styleId="9">
    <w:name w:val="Normal Indent"/>
    <w:basedOn w:val="1"/>
    <w:qFormat/>
    <w:uiPriority w:val="0"/>
    <w:pPr>
      <w:ind w:firstLine="200" w:firstLineChars="200"/>
    </w:pPr>
  </w:style>
  <w:style w:type="paragraph" w:styleId="10">
    <w:name w:val="Document Map"/>
    <w:basedOn w:val="1"/>
    <w:link w:val="40"/>
    <w:qFormat/>
    <w:uiPriority w:val="0"/>
    <w:rPr>
      <w:rFonts w:ascii="宋体" w:eastAsia="宋体"/>
      <w:sz w:val="18"/>
      <w:szCs w:val="18"/>
    </w:rPr>
  </w:style>
  <w:style w:type="paragraph" w:styleId="11">
    <w:name w:val="annotation text"/>
    <w:basedOn w:val="1"/>
    <w:qFormat/>
    <w:uiPriority w:val="0"/>
    <w:pPr>
      <w:jc w:val="left"/>
    </w:pPr>
    <w:rPr>
      <w:rFonts w:ascii="Times New Roman" w:hAnsi="Times New Roman" w:eastAsia="宋体" w:cs="Times New Roman"/>
      <w:kern w:val="0"/>
      <w:sz w:val="20"/>
      <w:szCs w:val="20"/>
    </w:rPr>
  </w:style>
  <w:style w:type="paragraph" w:styleId="12">
    <w:name w:val="Salutation"/>
    <w:basedOn w:val="1"/>
    <w:next w:val="1"/>
    <w:qFormat/>
    <w:uiPriority w:val="99"/>
    <w:rPr>
      <w:sz w:val="24"/>
    </w:rPr>
  </w:style>
  <w:style w:type="paragraph" w:styleId="13">
    <w:name w:val="Body Text Indent"/>
    <w:basedOn w:val="1"/>
    <w:semiHidden/>
    <w:unhideWhenUsed/>
    <w:qFormat/>
    <w:uiPriority w:val="99"/>
    <w:pPr>
      <w:spacing w:after="120"/>
      <w:ind w:left="420" w:leftChars="200"/>
    </w:pPr>
  </w:style>
  <w:style w:type="paragraph" w:styleId="14">
    <w:name w:val="Block Text"/>
    <w:basedOn w:val="1"/>
    <w:next w:val="6"/>
    <w:qFormat/>
    <w:uiPriority w:val="99"/>
    <w:pPr>
      <w:spacing w:after="120"/>
    </w:pPr>
  </w:style>
  <w:style w:type="paragraph" w:styleId="15">
    <w:name w:val="toc 3"/>
    <w:basedOn w:val="1"/>
    <w:next w:val="1"/>
    <w:qFormat/>
    <w:uiPriority w:val="39"/>
    <w:pPr>
      <w:ind w:left="840" w:leftChars="400"/>
    </w:pPr>
  </w:style>
  <w:style w:type="paragraph" w:styleId="16">
    <w:name w:val="Plain Text"/>
    <w:basedOn w:val="1"/>
    <w:link w:val="45"/>
    <w:qFormat/>
    <w:uiPriority w:val="99"/>
    <w:pPr>
      <w:spacing w:line="360" w:lineRule="auto"/>
    </w:pPr>
    <w:rPr>
      <w:rFonts w:ascii="楷体_GB2312" w:hAnsi="Courier New" w:eastAsia="楷体_GB2312" w:cs="Times New Roman"/>
      <w:sz w:val="24"/>
      <w:szCs w:val="20"/>
    </w:rPr>
  </w:style>
  <w:style w:type="paragraph" w:styleId="17">
    <w:name w:val="Date"/>
    <w:basedOn w:val="1"/>
    <w:next w:val="1"/>
    <w:qFormat/>
    <w:uiPriority w:val="0"/>
    <w:pPr>
      <w:widowControl/>
      <w:jc w:val="left"/>
    </w:pPr>
    <w:rPr>
      <w:kern w:val="0"/>
      <w:sz w:val="24"/>
    </w:rPr>
  </w:style>
  <w:style w:type="paragraph" w:styleId="18">
    <w:name w:val="Body Text Indent 2"/>
    <w:basedOn w:val="1"/>
    <w:qFormat/>
    <w:uiPriority w:val="0"/>
    <w:pPr>
      <w:spacing w:after="120" w:line="480" w:lineRule="auto"/>
      <w:ind w:left="420" w:leftChars="200"/>
    </w:pPr>
  </w:style>
  <w:style w:type="paragraph" w:styleId="19">
    <w:name w:val="Balloon Text"/>
    <w:basedOn w:val="1"/>
    <w:link w:val="63"/>
    <w:qFormat/>
    <w:uiPriority w:val="0"/>
    <w:rPr>
      <w:sz w:val="18"/>
      <w:szCs w:val="18"/>
    </w:rPr>
  </w:style>
  <w:style w:type="paragraph" w:styleId="20">
    <w:name w:val="footer"/>
    <w:basedOn w:val="1"/>
    <w:link w:val="42"/>
    <w:qFormat/>
    <w:uiPriority w:val="99"/>
    <w:pPr>
      <w:tabs>
        <w:tab w:val="center" w:pos="4153"/>
        <w:tab w:val="right" w:pos="8306"/>
      </w:tabs>
      <w:snapToGrid w:val="0"/>
      <w:jc w:val="left"/>
    </w:pPr>
    <w:rPr>
      <w:sz w:val="18"/>
      <w:szCs w:val="18"/>
    </w:rPr>
  </w:style>
  <w:style w:type="paragraph" w:styleId="2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2"/>
    <w:basedOn w:val="1"/>
    <w:next w:val="1"/>
    <w:qFormat/>
    <w:uiPriority w:val="39"/>
    <w:pPr>
      <w:ind w:left="420" w:leftChars="200"/>
    </w:pPr>
  </w:style>
  <w:style w:type="paragraph" w:styleId="24">
    <w:name w:val="Body Text 2"/>
    <w:basedOn w:val="1"/>
    <w:qFormat/>
    <w:uiPriority w:val="0"/>
    <w:pPr>
      <w:spacing w:after="120" w:line="480" w:lineRule="auto"/>
    </w:p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index 1"/>
    <w:basedOn w:val="1"/>
    <w:next w:val="1"/>
    <w:qFormat/>
    <w:uiPriority w:val="99"/>
    <w:pPr>
      <w:spacing w:line="360" w:lineRule="auto"/>
    </w:pPr>
  </w:style>
  <w:style w:type="paragraph" w:styleId="27">
    <w:name w:val="Title"/>
    <w:basedOn w:val="1"/>
    <w:next w:val="1"/>
    <w:link w:val="43"/>
    <w:qFormat/>
    <w:uiPriority w:val="0"/>
    <w:pPr>
      <w:spacing w:before="240" w:after="60"/>
      <w:jc w:val="center"/>
      <w:outlineLvl w:val="0"/>
    </w:pPr>
    <w:rPr>
      <w:rFonts w:eastAsia="宋体" w:asciiTheme="majorHAnsi" w:hAnsiTheme="majorHAnsi" w:cstheme="majorBidi"/>
      <w:b/>
      <w:bCs/>
      <w:sz w:val="32"/>
      <w:szCs w:val="32"/>
    </w:rPr>
  </w:style>
  <w:style w:type="paragraph" w:styleId="28">
    <w:name w:val="Body Text First Indent"/>
    <w:basedOn w:val="2"/>
    <w:qFormat/>
    <w:uiPriority w:val="99"/>
    <w:pPr>
      <w:ind w:firstLine="420" w:firstLineChars="100"/>
    </w:pPr>
    <w:rPr>
      <w:sz w:val="18"/>
    </w:rPr>
  </w:style>
  <w:style w:type="paragraph" w:styleId="29">
    <w:name w:val="Body Text First Indent 2"/>
    <w:basedOn w:val="13"/>
    <w:unhideWhenUsed/>
    <w:qFormat/>
    <w:uiPriority w:val="99"/>
    <w:pPr>
      <w:autoSpaceDE w:val="0"/>
      <w:autoSpaceDN w:val="0"/>
      <w:spacing w:before="100" w:beforeAutospacing="1"/>
      <w:ind w:firstLine="420" w:firstLineChars="200"/>
    </w:pPr>
    <w:rPr>
      <w:rFonts w:ascii="Arial" w:hAnsi="Arial" w:cs="Times New Roman"/>
      <w:sz w:val="24"/>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Hyperlink"/>
    <w:basedOn w:val="32"/>
    <w:unhideWhenUsed/>
    <w:qFormat/>
    <w:uiPriority w:val="99"/>
    <w:rPr>
      <w:color w:val="0563C1" w:themeColor="hyperlink"/>
      <w:u w:val="single"/>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5">
    <w:name w:val="tpc_content1"/>
    <w:qFormat/>
    <w:uiPriority w:val="0"/>
    <w:rPr>
      <w:sz w:val="20"/>
      <w:szCs w:val="20"/>
    </w:rPr>
  </w:style>
  <w:style w:type="paragraph" w:styleId="36">
    <w:name w:val="List Paragraph"/>
    <w:basedOn w:val="1"/>
    <w:link w:val="47"/>
    <w:qFormat/>
    <w:uiPriority w:val="34"/>
    <w:pPr>
      <w:ind w:firstLine="420" w:firstLineChars="200"/>
    </w:pPr>
  </w:style>
  <w:style w:type="paragraph" w:customStyle="1" w:styleId="37">
    <w:name w:val="列出段落1"/>
    <w:basedOn w:val="1"/>
    <w:qFormat/>
    <w:uiPriority w:val="0"/>
    <w:pPr>
      <w:spacing w:line="360" w:lineRule="auto"/>
      <w:ind w:firstLine="420" w:firstLineChars="200"/>
    </w:pPr>
    <w:rPr>
      <w:rFonts w:ascii="等线" w:hAnsi="等线" w:cs="Times New Roman"/>
      <w:sz w:val="28"/>
      <w:szCs w:val="22"/>
    </w:rPr>
  </w:style>
  <w:style w:type="paragraph" w:customStyle="1" w:styleId="38">
    <w:name w:val="Default Text"/>
    <w:basedOn w:val="1"/>
    <w:qFormat/>
    <w:uiPriority w:val="0"/>
    <w:pPr>
      <w:autoSpaceDE w:val="0"/>
      <w:autoSpaceDN w:val="0"/>
      <w:adjustRightInd w:val="0"/>
      <w:jc w:val="left"/>
      <w:textAlignment w:val="baseline"/>
    </w:pPr>
    <w:rPr>
      <w:rFonts w:ascii="楷体" w:hAnsi="Tms Rmn" w:eastAsia="楷体"/>
      <w:kern w:val="0"/>
      <w:sz w:val="28"/>
      <w:szCs w:val="20"/>
      <w:lang w:bidi="he-IL"/>
    </w:rPr>
  </w:style>
  <w:style w:type="paragraph" w:customStyle="1" w:styleId="39">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character" w:customStyle="1" w:styleId="40">
    <w:name w:val="文档结构图 Char"/>
    <w:basedOn w:val="32"/>
    <w:link w:val="10"/>
    <w:qFormat/>
    <w:uiPriority w:val="0"/>
    <w:rPr>
      <w:rFonts w:ascii="宋体" w:eastAsia="宋体"/>
      <w:kern w:val="2"/>
      <w:sz w:val="18"/>
      <w:szCs w:val="18"/>
    </w:rPr>
  </w:style>
  <w:style w:type="character" w:customStyle="1" w:styleId="41">
    <w:name w:val="页眉 Char"/>
    <w:basedOn w:val="32"/>
    <w:link w:val="21"/>
    <w:qFormat/>
    <w:uiPriority w:val="0"/>
    <w:rPr>
      <w:kern w:val="2"/>
      <w:sz w:val="18"/>
      <w:szCs w:val="18"/>
    </w:rPr>
  </w:style>
  <w:style w:type="character" w:customStyle="1" w:styleId="42">
    <w:name w:val="页脚 Char"/>
    <w:basedOn w:val="32"/>
    <w:link w:val="20"/>
    <w:qFormat/>
    <w:uiPriority w:val="99"/>
    <w:rPr>
      <w:kern w:val="2"/>
      <w:sz w:val="18"/>
      <w:szCs w:val="18"/>
    </w:rPr>
  </w:style>
  <w:style w:type="character" w:customStyle="1" w:styleId="43">
    <w:name w:val="标题 Char"/>
    <w:basedOn w:val="32"/>
    <w:link w:val="27"/>
    <w:qFormat/>
    <w:uiPriority w:val="0"/>
    <w:rPr>
      <w:rFonts w:eastAsia="宋体" w:asciiTheme="majorHAnsi" w:hAnsiTheme="majorHAnsi" w:cstheme="majorBidi"/>
      <w:b/>
      <w:bCs/>
      <w:kern w:val="2"/>
      <w:sz w:val="32"/>
      <w:szCs w:val="32"/>
    </w:rPr>
  </w:style>
  <w:style w:type="character" w:customStyle="1" w:styleId="44">
    <w:name w:val="正文文本 Char"/>
    <w:basedOn w:val="32"/>
    <w:link w:val="2"/>
    <w:qFormat/>
    <w:uiPriority w:val="0"/>
    <w:rPr>
      <w:kern w:val="2"/>
      <w:sz w:val="21"/>
      <w:szCs w:val="24"/>
    </w:rPr>
  </w:style>
  <w:style w:type="character" w:customStyle="1" w:styleId="45">
    <w:name w:val="纯文本 Char"/>
    <w:basedOn w:val="32"/>
    <w:link w:val="16"/>
    <w:qFormat/>
    <w:uiPriority w:val="99"/>
    <w:rPr>
      <w:rFonts w:ascii="楷体_GB2312" w:hAnsi="Courier New" w:eastAsia="楷体_GB2312" w:cs="Times New Roman"/>
      <w:kern w:val="2"/>
      <w:sz w:val="24"/>
    </w:rPr>
  </w:style>
  <w:style w:type="character" w:customStyle="1" w:styleId="46">
    <w:name w:val="正文文本 Char1"/>
    <w:link w:val="2"/>
    <w:qFormat/>
    <w:uiPriority w:val="99"/>
    <w:rPr>
      <w:rFonts w:ascii="Times New Roman" w:hAnsi="Times New Roman" w:eastAsia="宋体" w:cs="Times New Roman"/>
      <w:kern w:val="2"/>
      <w:sz w:val="24"/>
      <w:szCs w:val="24"/>
    </w:rPr>
  </w:style>
  <w:style w:type="character" w:customStyle="1" w:styleId="47">
    <w:name w:val="列出段落 Char"/>
    <w:link w:val="36"/>
    <w:qFormat/>
    <w:uiPriority w:val="34"/>
    <w:rPr>
      <w:kern w:val="2"/>
      <w:sz w:val="21"/>
      <w:szCs w:val="24"/>
    </w:rPr>
  </w:style>
  <w:style w:type="paragraph" w:customStyle="1" w:styleId="48">
    <w:name w:val="TOC 标题1"/>
    <w:basedOn w:val="3"/>
    <w:next w:val="1"/>
    <w:unhideWhenUsed/>
    <w:qFormat/>
    <w:uiPriority w:val="39"/>
    <w:pPr>
      <w:keepNext/>
      <w:keepLines/>
      <w:widowControl/>
      <w:numPr>
        <w:numId w:val="0"/>
      </w:numPr>
      <w:tabs>
        <w:tab w:val="clear" w:pos="312"/>
      </w:tabs>
      <w:spacing w:before="480" w:line="276" w:lineRule="auto"/>
      <w:jc w:val="left"/>
      <w:outlineLvl w:val="9"/>
    </w:pPr>
    <w:rPr>
      <w:rFonts w:asciiTheme="majorHAnsi" w:hAnsiTheme="majorHAnsi" w:eastAsiaTheme="majorEastAsia" w:cstheme="majorBidi"/>
      <w:color w:val="2E75B5" w:themeColor="accent1" w:themeShade="BF"/>
      <w:sz w:val="28"/>
      <w:szCs w:val="28"/>
    </w:rPr>
  </w:style>
  <w:style w:type="paragraph" w:customStyle="1" w:styleId="49">
    <w:name w:val="表格"/>
    <w:basedOn w:val="1"/>
    <w:link w:val="50"/>
    <w:qFormat/>
    <w:uiPriority w:val="0"/>
    <w:pPr>
      <w:widowControl/>
      <w:jc w:val="center"/>
    </w:pPr>
    <w:rPr>
      <w:rFonts w:eastAsia="宋体" w:cs="宋体" w:asciiTheme="minorEastAsia" w:hAnsiTheme="minorEastAsia"/>
      <w:bCs/>
      <w:szCs w:val="22"/>
    </w:rPr>
  </w:style>
  <w:style w:type="character" w:customStyle="1" w:styleId="50">
    <w:name w:val="表格 字符"/>
    <w:basedOn w:val="32"/>
    <w:link w:val="49"/>
    <w:qFormat/>
    <w:uiPriority w:val="0"/>
    <w:rPr>
      <w:rFonts w:eastAsia="宋体" w:cs="宋体" w:asciiTheme="minorEastAsia" w:hAnsiTheme="minorEastAsia"/>
      <w:bCs/>
      <w:kern w:val="2"/>
      <w:sz w:val="21"/>
      <w:szCs w:val="22"/>
    </w:rPr>
  </w:style>
  <w:style w:type="paragraph" w:customStyle="1" w:styleId="51">
    <w:name w:val="p16"/>
    <w:basedOn w:val="1"/>
    <w:qFormat/>
    <w:uiPriority w:val="0"/>
    <w:pPr>
      <w:widowControl/>
    </w:pPr>
    <w:rPr>
      <w:rFonts w:ascii="宋体" w:hAnsi="宋体" w:cs="宋体"/>
      <w:kern w:val="0"/>
      <w:sz w:val="28"/>
      <w:szCs w:val="28"/>
    </w:rPr>
  </w:style>
  <w:style w:type="paragraph" w:customStyle="1" w:styleId="52">
    <w:name w:val="表正文"/>
    <w:basedOn w:val="1"/>
    <w:next w:val="24"/>
    <w:qFormat/>
    <w:uiPriority w:val="0"/>
    <w:pPr>
      <w:tabs>
        <w:tab w:val="left" w:pos="360"/>
      </w:tabs>
      <w:spacing w:line="360" w:lineRule="auto"/>
    </w:pPr>
    <w:rPr>
      <w:rFonts w:ascii="宋体" w:hAnsi="宋体"/>
      <w:sz w:val="28"/>
    </w:rPr>
  </w:style>
  <w:style w:type="paragraph" w:customStyle="1" w:styleId="53">
    <w:name w:val="正常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WPSOffice手动目录 1"/>
    <w:qFormat/>
    <w:uiPriority w:val="0"/>
    <w:rPr>
      <w:rFonts w:asciiTheme="minorHAnsi" w:hAnsiTheme="minorHAnsi" w:eastAsiaTheme="minorEastAsia" w:cstheme="minorBidi"/>
      <w:lang w:val="en-US" w:eastAsia="zh-CN" w:bidi="ar-SA"/>
    </w:rPr>
  </w:style>
  <w:style w:type="paragraph" w:customStyle="1" w:styleId="5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57">
    <w:name w:val="font11"/>
    <w:basedOn w:val="32"/>
    <w:qFormat/>
    <w:uiPriority w:val="0"/>
    <w:rPr>
      <w:rFonts w:hint="eastAsia" w:ascii="宋体" w:hAnsi="宋体" w:eastAsia="宋体" w:cs="宋体"/>
      <w:color w:val="000000"/>
      <w:sz w:val="22"/>
      <w:szCs w:val="22"/>
      <w:u w:val="none"/>
    </w:rPr>
  </w:style>
  <w:style w:type="character" w:customStyle="1" w:styleId="58">
    <w:name w:val="font01"/>
    <w:basedOn w:val="32"/>
    <w:qFormat/>
    <w:uiPriority w:val="0"/>
    <w:rPr>
      <w:rFonts w:hint="eastAsia" w:ascii="宋体" w:hAnsi="宋体" w:eastAsia="宋体" w:cs="宋体"/>
      <w:b/>
      <w:bCs/>
      <w:color w:val="000000"/>
      <w:sz w:val="24"/>
      <w:szCs w:val="24"/>
      <w:u w:val="none"/>
    </w:rPr>
  </w:style>
  <w:style w:type="character" w:customStyle="1" w:styleId="59">
    <w:name w:val="font41"/>
    <w:basedOn w:val="32"/>
    <w:qFormat/>
    <w:uiPriority w:val="0"/>
    <w:rPr>
      <w:rFonts w:hint="default" w:ascii="汉仪仿宋简" w:hAnsi="汉仪仿宋简" w:eastAsia="汉仪仿宋简" w:cs="汉仪仿宋简"/>
      <w:color w:val="000000"/>
      <w:sz w:val="22"/>
      <w:szCs w:val="22"/>
      <w:u w:val="none"/>
    </w:rPr>
  </w:style>
  <w:style w:type="character" w:customStyle="1" w:styleId="60">
    <w:name w:val="font51"/>
    <w:basedOn w:val="32"/>
    <w:qFormat/>
    <w:uiPriority w:val="0"/>
    <w:rPr>
      <w:rFonts w:hint="eastAsia" w:ascii="仿宋" w:hAnsi="仿宋" w:eastAsia="仿宋" w:cs="仿宋"/>
      <w:color w:val="000000"/>
      <w:sz w:val="28"/>
      <w:szCs w:val="28"/>
      <w:u w:val="none"/>
    </w:rPr>
  </w:style>
  <w:style w:type="character" w:customStyle="1" w:styleId="61">
    <w:name w:val="font81"/>
    <w:basedOn w:val="32"/>
    <w:qFormat/>
    <w:uiPriority w:val="0"/>
    <w:rPr>
      <w:rFonts w:ascii="等线 Light" w:hAnsi="等线 Light" w:eastAsia="等线 Light" w:cs="等线 Light"/>
      <w:color w:val="000000"/>
      <w:sz w:val="28"/>
      <w:szCs w:val="28"/>
      <w:u w:val="none"/>
    </w:rPr>
  </w:style>
  <w:style w:type="character" w:customStyle="1" w:styleId="62">
    <w:name w:val="font91"/>
    <w:basedOn w:val="32"/>
    <w:qFormat/>
    <w:uiPriority w:val="0"/>
    <w:rPr>
      <w:rFonts w:ascii="Arial" w:hAnsi="Arial" w:cs="Arial"/>
      <w:color w:val="000000"/>
      <w:sz w:val="28"/>
      <w:szCs w:val="28"/>
      <w:u w:val="none"/>
    </w:rPr>
  </w:style>
  <w:style w:type="character" w:customStyle="1" w:styleId="63">
    <w:name w:val="批注框文本 Char"/>
    <w:basedOn w:val="32"/>
    <w:link w:val="19"/>
    <w:qFormat/>
    <w:uiPriority w:val="0"/>
    <w:rPr>
      <w:rFonts w:asciiTheme="minorHAnsi" w:hAnsiTheme="minorHAnsi" w:eastAsiaTheme="minorEastAsia" w:cstheme="minorBidi"/>
      <w:kern w:val="2"/>
      <w:sz w:val="18"/>
      <w:szCs w:val="18"/>
    </w:rPr>
  </w:style>
  <w:style w:type="paragraph" w:customStyle="1" w:styleId="64">
    <w:name w:val="样式 首行缩进:  2 字符"/>
    <w:basedOn w:val="1"/>
    <w:qFormat/>
    <w:uiPriority w:val="0"/>
    <w:pPr>
      <w:spacing w:line="400" w:lineRule="exact"/>
      <w:ind w:firstLine="200" w:firstLineChars="200"/>
    </w:pPr>
    <w:rPr>
      <w:rFonts w:ascii="Times New Roman" w:hAnsi="Times New Roman" w:eastAsia="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12</Pages>
  <Words>1039</Words>
  <Characters>5923</Characters>
  <Lines>49</Lines>
  <Paragraphs>13</Paragraphs>
  <TotalTime>3</TotalTime>
  <ScaleCrop>false</ScaleCrop>
  <LinksUpToDate>false</LinksUpToDate>
  <CharactersWithSpaces>6949</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2021-07-27T17:08:00Z</dcterms:created>
  <dc:creator>胤冷</dc:creator>
  <cp:lastModifiedBy>lenovo</cp:lastModifiedBy>
  <dcterms:modified xsi:type="dcterms:W3CDTF">2025-03-05T09:14:45Z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98EC6844612CFD2D85A5C767534C746D</vt:lpwstr>
  </property>
</Properties>
</file>