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630D">
      <w:pPr>
        <w:spacing w:line="600" w:lineRule="exact"/>
        <w:jc w:val="left"/>
        <w:rPr>
          <w:rFonts w:hint="eastAsia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eastAsia"/>
          <w:color w:val="000000"/>
          <w:sz w:val="36"/>
          <w:szCs w:val="36"/>
          <w:lang w:val="en-US" w:eastAsia="zh-CN"/>
        </w:rPr>
        <w:t>网络安全设备维保项目采购需求</w:t>
      </w:r>
    </w:p>
    <w:p w14:paraId="7010E4F1">
      <w:pPr>
        <w:spacing w:line="600" w:lineRule="exact"/>
        <w:jc w:val="left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color w:val="auto"/>
          <w:sz w:val="24"/>
          <w:szCs w:val="24"/>
        </w:rPr>
        <w:t>、</w:t>
      </w:r>
      <w:r>
        <w:rPr>
          <w:b/>
          <w:bCs/>
          <w:color w:val="auto"/>
          <w:sz w:val="24"/>
          <w:szCs w:val="24"/>
        </w:rPr>
        <w:t>采购详细技术服务</w:t>
      </w:r>
      <w:r>
        <w:rPr>
          <w:rFonts w:hint="eastAsia"/>
          <w:b/>
          <w:bCs/>
          <w:color w:val="auto"/>
          <w:sz w:val="24"/>
          <w:szCs w:val="24"/>
        </w:rPr>
        <w:t>要求及标准</w:t>
      </w:r>
      <w:r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  <w:t>★</w:t>
      </w:r>
    </w:p>
    <w:p w14:paraId="1DE54F4F">
      <w:pPr>
        <w:pStyle w:val="5"/>
        <w:spacing w:after="156" w:line="360" w:lineRule="auto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>一</w:t>
      </w:r>
      <w:r>
        <w:rPr>
          <w:rFonts w:hint="eastAsia" w:ascii="宋体" w:hAnsi="宋体"/>
          <w:bCs/>
          <w:sz w:val="24"/>
          <w:lang w:eastAsia="zh-CN"/>
        </w:rPr>
        <w:t>）</w:t>
      </w:r>
      <w:r>
        <w:rPr>
          <w:rFonts w:hint="eastAsia" w:ascii="宋体" w:hAnsi="宋体"/>
          <w:bCs/>
          <w:sz w:val="24"/>
          <w:lang w:val="en-US" w:eastAsia="zh-CN"/>
        </w:rPr>
        <w:t>维保设备</w:t>
      </w:r>
    </w:p>
    <w:tbl>
      <w:tblPr>
        <w:tblStyle w:val="7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810"/>
        <w:gridCol w:w="512"/>
        <w:gridCol w:w="7107"/>
      </w:tblGrid>
      <w:tr w14:paraId="4E2E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453" w:type="dxa"/>
            <w:vAlign w:val="center"/>
          </w:tcPr>
          <w:p w14:paraId="13C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0" w:type="dxa"/>
            <w:vAlign w:val="center"/>
          </w:tcPr>
          <w:p w14:paraId="6B80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12" w:type="dxa"/>
            <w:vAlign w:val="center"/>
          </w:tcPr>
          <w:p w14:paraId="61BD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107" w:type="dxa"/>
            <w:vAlign w:val="center"/>
          </w:tcPr>
          <w:p w14:paraId="6CE019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服务内容</w:t>
            </w:r>
          </w:p>
        </w:tc>
      </w:tr>
      <w:tr w14:paraId="0DD5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4E13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vAlign w:val="center"/>
          </w:tcPr>
          <w:p w14:paraId="5D8B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深信服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上网行为管理AC-1000-N444</w:t>
            </w:r>
          </w:p>
        </w:tc>
        <w:tc>
          <w:tcPr>
            <w:tcW w:w="512" w:type="dxa"/>
            <w:vAlign w:val="center"/>
          </w:tcPr>
          <w:p w14:paraId="1160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7" w:type="dxa"/>
            <w:vAlign w:val="top"/>
          </w:tcPr>
          <w:p w14:paraId="65FE76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1.★提供1年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质保、软件升级、URL规则库升级服务;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URL规则库数量需超过3000万，需包含分类数量150个以上；管理员可自定义新的URL地址和URL分类；URL分类库能够对恶意网站、风险行为进行识别，并可根据用户需求设定合理规则，进行用户上网行为管理，杜绝不安全因素的访问，降低网络使用风险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应用识别规则库能够对众多细分应用进行识别，需内置超过9000种以上应用规则，支持超过6000种以上的应用；并可根据用户需求设定合理规则，进行用户上网行为管理，杜绝不安全因素的访问，降低网络使用风险;</w:t>
            </w:r>
          </w:p>
        </w:tc>
      </w:tr>
      <w:tr w14:paraId="212F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03701F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vAlign w:val="center"/>
          </w:tcPr>
          <w:p w14:paraId="1B076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深信服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域名负载均衡AD-1000-C620</w:t>
            </w:r>
          </w:p>
        </w:tc>
        <w:tc>
          <w:tcPr>
            <w:tcW w:w="512" w:type="dxa"/>
            <w:vAlign w:val="center"/>
          </w:tcPr>
          <w:p w14:paraId="6EF908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7" w:type="dxa"/>
            <w:vAlign w:val="top"/>
          </w:tcPr>
          <w:p w14:paraId="2711D1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1.★提供1年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软件升级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144E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0706B8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vAlign w:val="center"/>
          </w:tcPr>
          <w:p w14:paraId="17151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深信服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出口防火墙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AF-2000-K488</w:t>
            </w:r>
          </w:p>
        </w:tc>
        <w:tc>
          <w:tcPr>
            <w:tcW w:w="512" w:type="dxa"/>
            <w:vAlign w:val="center"/>
          </w:tcPr>
          <w:p w14:paraId="4397C8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7" w:type="dxa"/>
            <w:vAlign w:val="top"/>
          </w:tcPr>
          <w:p w14:paraId="3186D3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★提供1年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软件升级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530990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★提供1年云智订阅软件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产品相关安全特征库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包括WEB应用防护识别库、IPS特征库、僵尸网络防护库、实时漏洞分析识别库和URL&amp;应用识别库定期更新，保持设备具备检测防御最新威胁的能力。</w:t>
            </w:r>
          </w:p>
        </w:tc>
      </w:tr>
      <w:tr w14:paraId="186C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457C2E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vAlign w:val="center"/>
          </w:tcPr>
          <w:p w14:paraId="085F20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深信服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DAS-1000-A620</w:t>
            </w:r>
          </w:p>
        </w:tc>
        <w:tc>
          <w:tcPr>
            <w:tcW w:w="512" w:type="dxa"/>
            <w:vAlign w:val="center"/>
          </w:tcPr>
          <w:p w14:paraId="3EC50D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7" w:type="dxa"/>
            <w:vAlign w:val="top"/>
          </w:tcPr>
          <w:p w14:paraId="39E44A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★提供1年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软件升级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6E48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16F4D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10" w:type="dxa"/>
            <w:vAlign w:val="center"/>
          </w:tcPr>
          <w:p w14:paraId="27AF51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深信服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态势感知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SIP-1000-B400</w:t>
            </w:r>
          </w:p>
        </w:tc>
        <w:tc>
          <w:tcPr>
            <w:tcW w:w="512" w:type="dxa"/>
            <w:vAlign w:val="center"/>
          </w:tcPr>
          <w:p w14:paraId="1F595E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7" w:type="dxa"/>
            <w:vAlign w:val="top"/>
          </w:tcPr>
          <w:p w14:paraId="079E37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1.★提供1年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软件升级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2.★提供1年特征库升级，包括安全检测特征识别库、系统更新、文件智能分析模型库、安全知识库、IOC威胁情报库、热点事件、白名单库等</w:t>
            </w:r>
          </w:p>
        </w:tc>
      </w:tr>
      <w:tr w14:paraId="65C4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21EC2F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10" w:type="dxa"/>
            <w:vAlign w:val="center"/>
          </w:tcPr>
          <w:p w14:paraId="30F30E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深信服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杀毒软件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512" w:type="dxa"/>
            <w:vAlign w:val="center"/>
          </w:tcPr>
          <w:p w14:paraId="4C385A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7" w:type="dxa"/>
            <w:vAlign w:val="top"/>
          </w:tcPr>
          <w:p w14:paraId="706254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★提供1年已有产品的软件升级授权，包括产品版本升级，安全云脑在线分析，人工智能算法模型更新，引擎特征升级、规则库升级等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74B26F67">
            <w:pPr>
              <w:pStyle w:val="5"/>
              <w:spacing w:after="156" w:line="240" w:lineRule="auto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  <w:t>2.★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提供80个国产化授权，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  <w:t>支持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安装使用在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  <w:t>主流国产化操作系统，如中标麒麟、银河麒麟、统信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欧拉、龙蜥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  <w:t>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1C4483CC">
            <w:pPr>
              <w:pStyle w:val="5"/>
              <w:spacing w:after="156" w:line="240" w:lineRule="auto"/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  <w:t>★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可通过学校现有EDR管理平台进行管理。</w:t>
            </w:r>
          </w:p>
          <w:p w14:paraId="01DF5B43">
            <w:pPr>
              <w:pStyle w:val="5"/>
              <w:spacing w:after="156" w:line="240" w:lineRule="auto"/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4.采用B/S架构的管理控制中心，具备终端安全可视，终端统一管理，统一威胁处置，统一漏洞修复，威胁响应处置，日志记录与查询等功能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3E8118EE">
            <w:pPr>
              <w:pStyle w:val="5"/>
              <w:spacing w:after="156" w:line="240" w:lineRule="auto"/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5.支持全网风险展示，包括但不限于未处理的勒索病毒数量、暴力破解数量、WebShell后门数量、高危漏洞及其各自影响的终端数量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7D46EAFD">
            <w:pPr>
              <w:pStyle w:val="5"/>
              <w:spacing w:after="156" w:line="240" w:lineRule="auto"/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6.支持全网视角的终端资产统一清点，清点信息包括操作系统、应用软件、监听端口和主机账户，其中操作系统、应用软件和监听端口支持从资产和终端两个视角进行统计和展示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28C742A3">
            <w:pPr>
              <w:pStyle w:val="5"/>
              <w:spacing w:after="156" w:line="240" w:lineRule="auto"/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7.支持展示终端检测到的WebShell事件及事件详情，包括：恶意文件名称，威胁等级，受感染的文件，发现时间，检测引擎，文件类型，文件名，文件Hash值，文件大小，文件创建时间；可配置WebShell实时扫描，一旦发现WebShell文件，可自动隔离或仅上报不隔离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51FC8E3A">
            <w:pPr>
              <w:pStyle w:val="5"/>
              <w:spacing w:after="156" w:line="240" w:lineRule="auto"/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8.为避免发生勒索安全事件，要求设备具备勒索立体防护体系入口，支持基于勒索病毒攻击过程，建立多维度立体防护机制，提供事前入侵防御-事中反加密-事后检测响应的完整防护体系，展示勒索病毒处置情况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69F8DAB0">
            <w:pPr>
              <w:pStyle w:val="5"/>
              <w:spacing w:after="156" w:line="240" w:lineRule="auto"/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9.支持一键式操作对指定终端/终端组进行合规性检查，包括身份鉴别、访问控制、安全审计、剩余信息保护、入侵防范、恶意代码防范，对不合规的检查项提供设置建议，并可视化展示终端的基线合规检查结果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52F488AA">
            <w:pPr>
              <w:pStyle w:val="5"/>
              <w:spacing w:after="156" w:line="240" w:lineRule="auto"/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10.支持对终端的漏洞情况进行扫描，并查看漏洞具体情况，并显示具体修复情况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47C64C25">
            <w:pPr>
              <w:pStyle w:val="5"/>
              <w:spacing w:after="156" w:line="240" w:lineRule="auto"/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11.为避免大量终端程序同时更新造成网络拥堵或I/O风暴，要求支持客户端的错峰升级或灰度升级，可根据实际情况控制客户端同时升级的最大数量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34ED91F9">
            <w:pPr>
              <w:pStyle w:val="5"/>
              <w:spacing w:after="156" w:line="240" w:lineRule="auto"/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12.支持以可视化形式展现攻击故事，提供可视化的进程树溯源，可直观看出攻击入口、相关操作行为、高危实体文件等信息，协助进行事件攻击溯源和研判分析</w:t>
            </w: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51C604C6">
            <w:pPr>
              <w:pStyle w:val="5"/>
              <w:spacing w:after="156" w:line="240" w:lineRule="auto"/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13.支持导出针对全网终端的终端风险报告，从整体分析全网安全状况，快速了解业务和网络的安全风险，提供安全规划建设建议。</w:t>
            </w:r>
          </w:p>
          <w:p w14:paraId="7944F9DC">
            <w:pPr>
              <w:pStyle w:val="5"/>
              <w:spacing w:after="156" w:line="240" w:lineRule="auto"/>
              <w:rPr>
                <w:rFonts w:hint="default" w:ascii="宋体" w:hAnsi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vertAlign w:val="baseline"/>
                <w:lang w:val="en-US" w:eastAsia="zh-CN"/>
              </w:rPr>
              <w:t>14.支持基于系统内置弱密码字典和自定义弱密码字典的检查功能，弱密码检测支持至少包括SSH、RDP、MySQL、Tomcat、Redis等应用类型，可按照空密码、自定义弱密码、密码长度小于8、字符种类小于3等常见弱密码类型进行分类查看。</w:t>
            </w:r>
          </w:p>
        </w:tc>
      </w:tr>
      <w:tr w14:paraId="0889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7035F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10" w:type="dxa"/>
            <w:vAlign w:val="center"/>
          </w:tcPr>
          <w:p w14:paraId="36EFB0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深信服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虚拟负载均衡vAD-800</w:t>
            </w:r>
          </w:p>
        </w:tc>
        <w:tc>
          <w:tcPr>
            <w:tcW w:w="512" w:type="dxa"/>
            <w:vAlign w:val="center"/>
          </w:tcPr>
          <w:p w14:paraId="1C98E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07" w:type="dxa"/>
            <w:vAlign w:val="top"/>
          </w:tcPr>
          <w:p w14:paraId="01FFDB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1.★提供1年软件升级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</w:tr>
    </w:tbl>
    <w:p w14:paraId="3689751C">
      <w:pPr>
        <w:pStyle w:val="5"/>
        <w:spacing w:after="156" w:line="360" w:lineRule="auto"/>
        <w:rPr>
          <w:rFonts w:hint="default" w:ascii="宋体" w:hAnsi="宋体"/>
          <w:bCs/>
          <w:sz w:val="24"/>
          <w:lang w:val="en-US" w:eastAsia="zh-CN"/>
        </w:rPr>
      </w:pPr>
    </w:p>
    <w:p w14:paraId="0F5469A7">
      <w:pPr>
        <w:pStyle w:val="5"/>
        <w:spacing w:after="156" w:line="360" w:lineRule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二</w:t>
      </w:r>
      <w:r>
        <w:rPr>
          <w:rFonts w:hint="eastAsia" w:ascii="宋体" w:hAnsi="宋体" w:cs="Times New Roman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z w:val="24"/>
          <w:szCs w:val="24"/>
        </w:rPr>
        <w:t>服务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要求★</w:t>
      </w:r>
    </w:p>
    <w:p w14:paraId="5FBFEAF5">
      <w:pPr>
        <w:pStyle w:val="5"/>
        <w:spacing w:after="156" w:line="360" w:lineRule="auto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1、★供应商需提供针对本项目所有维护设备的原厂服务及响应承诺证明（提供承诺函并加盖原厂公章）。</w:t>
      </w:r>
    </w:p>
    <w:p w14:paraId="7C3B2417">
      <w:pPr>
        <w:pStyle w:val="5"/>
        <w:spacing w:after="156" w:line="360" w:lineRule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2、★应急响应：要求设备在出现异常或故障，使用者在第一时间以电话、短信、</w:t>
      </w:r>
      <w:bookmarkStart w:id="1" w:name="_GoBack"/>
      <w:bookmarkEnd w:id="1"/>
      <w:r>
        <w:rPr>
          <w:rFonts w:hint="eastAsia" w:ascii="宋体" w:hAnsi="宋体" w:cs="Times New Roman"/>
          <w:sz w:val="24"/>
          <w:szCs w:val="24"/>
          <w:lang w:val="en-US" w:eastAsia="zh-CN"/>
        </w:rPr>
        <w:t>email、传真等多种方式通知情况下，工程师应在2小时内响应，8小时内确定故障原因并进行修复，必须到现场的应不晚于第二工作日到现场响应;需要硬件设备故障返厂维修的，需提供同型号的备件并进行更换，确保业务正常使用，同时故障设备维修需在30个自然日内完成并寄回设备，同时保证维修完成的设备安装调试并正常使用。</w:t>
      </w:r>
    </w:p>
    <w:p w14:paraId="2022DFD1">
      <w:pPr>
        <w:pStyle w:val="5"/>
        <w:spacing w:after="156" w:line="360" w:lineRule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3、★设备健康巡检：无论有无故障通知，供应商技术人员至少每四个月到采购人设备现场一次，对维保服务设备进行常规健康巡检，评估运行状况并对有故障的设备进行修复升级。</w:t>
      </w:r>
    </w:p>
    <w:p w14:paraId="5113A785">
      <w:pPr>
        <w:pStyle w:val="5"/>
        <w:spacing w:after="156" w:line="360" w:lineRule="auto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4、★数据对接：供应商应配合学校完成相关信息系统数据对接工作。</w:t>
      </w:r>
    </w:p>
    <w:p w14:paraId="0746A376">
      <w:pPr>
        <w:pStyle w:val="5"/>
        <w:spacing w:after="156" w:line="360" w:lineRule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5、★技术支持服务：开通7X24小时技术支持电话，负责解答采购人在项目执行过程中遇到的问题，并及时提出解决问题的建议和操作方法。</w:t>
      </w:r>
    </w:p>
    <w:p w14:paraId="232DECF4">
      <w:pPr>
        <w:spacing w:before="120" w:beforeLines="50" w:after="120" w:afterLines="50" w:line="360" w:lineRule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6、★人员要求：供应商应根据本项目所维护设备的具体情况，成立由项目经理、服务工程师等组成的服务团队。</w:t>
      </w:r>
    </w:p>
    <w:p w14:paraId="5CD716B3">
      <w:pPr>
        <w:spacing w:before="120" w:beforeLines="50" w:after="120" w:afterLines="50" w:line="360" w:lineRule="auto"/>
        <w:rPr>
          <w:rFonts w:hint="eastAsia" w:ascii="宋体" w:hAnsi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7、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★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服务期内，成交人需针对本项目制定专门的项目服务记录手册，便于本项目的顺利开展及验收，供采购人查阅、存档。</w:t>
      </w:r>
    </w:p>
    <w:p w14:paraId="01525AD9">
      <w:pPr>
        <w:spacing w:before="120" w:beforeLines="50" w:after="120" w:afterLines="50" w:line="360" w:lineRule="auto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8、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★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成交人需与采购人签订相关保密协议，不得泄露采购人的相关非公开信息；保密协议需以成交人、成交人派驻本项目的相关人员的名义分别单独进行签订。</w:t>
      </w:r>
    </w:p>
    <w:p w14:paraId="18B6AA08">
      <w:pPr>
        <w:pStyle w:val="4"/>
        <w:numPr>
          <w:ilvl w:val="0"/>
          <w:numId w:val="0"/>
        </w:numPr>
        <w:spacing w:before="156" w:after="156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cs="宋体"/>
          <w:b/>
          <w:bCs/>
          <w:iCs/>
          <w:color w:val="000000"/>
          <w:kern w:val="0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bCs/>
          <w:iCs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商务要求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bookmarkStart w:id="0" w:name="_Hlk88565039"/>
      <w:r>
        <w:rPr>
          <w:rFonts w:hint="eastAsia" w:ascii="宋体" w:hAnsi="宋体" w:cs="Times New Roman"/>
          <w:sz w:val="24"/>
          <w:szCs w:val="24"/>
          <w:lang w:val="en-US" w:eastAsia="zh-CN"/>
        </w:rPr>
        <w:t>★</w:t>
      </w:r>
    </w:p>
    <w:bookmarkEnd w:id="0"/>
    <w:p w14:paraId="3EE912AE">
      <w:pPr>
        <w:spacing w:before="120" w:beforeLines="50" w:after="120" w:afterLines="50" w:line="360" w:lineRule="auto"/>
        <w:rPr>
          <w:rFonts w:hint="eastAsia" w:ascii="宋体" w:hAnsi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1.</w:t>
      </w:r>
      <w:r>
        <w:rPr>
          <w:rFonts w:hint="eastAsia" w:ascii="宋体" w:hAnsi="宋体" w:eastAsia="宋体" w:cs="Times New Roman"/>
          <w:sz w:val="18"/>
          <w:szCs w:val="18"/>
          <w:vertAlign w:val="baseline"/>
        </w:rPr>
        <w:t>★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服务时间：合同签订之日起一年（以合同签订为准）。</w:t>
      </w:r>
    </w:p>
    <w:p w14:paraId="20C30E34">
      <w:pPr>
        <w:spacing w:before="120" w:beforeLines="50" w:after="120" w:afterLines="50" w:line="360" w:lineRule="auto"/>
        <w:rPr>
          <w:rFonts w:hint="eastAsia" w:ascii="宋体" w:hAnsi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2、</w:t>
      </w:r>
      <w:r>
        <w:rPr>
          <w:rFonts w:hint="eastAsia" w:ascii="宋体" w:hAnsi="宋体" w:eastAsia="宋体" w:cs="Times New Roman"/>
          <w:sz w:val="18"/>
          <w:szCs w:val="18"/>
          <w:vertAlign w:val="baseline"/>
        </w:rPr>
        <w:t>★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服务地点：四川文化产业职业学院（四川省干部函授学院）内。</w:t>
      </w:r>
    </w:p>
    <w:p w14:paraId="21B71258">
      <w:pPr>
        <w:spacing w:before="120" w:beforeLines="50" w:after="120" w:afterLines="50" w:line="360" w:lineRule="auto"/>
        <w:rPr>
          <w:rFonts w:hint="eastAsia" w:ascii="宋体" w:hAnsi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3、</w:t>
      </w:r>
      <w:r>
        <w:rPr>
          <w:rFonts w:hint="eastAsia" w:ascii="宋体" w:hAnsi="宋体" w:eastAsia="宋体" w:cs="Times New Roman"/>
          <w:sz w:val="18"/>
          <w:szCs w:val="18"/>
          <w:vertAlign w:val="baseline"/>
        </w:rPr>
        <w:t>★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付款方式及条件：签订合同并提供“（一）维保设备”中7台设备的软件升级授权后，支付合同总金额的50%，合同服务期履行完成并验收通过后支付合同总金额的50%。</w:t>
      </w:r>
    </w:p>
    <w:p w14:paraId="3C0792A7">
      <w:pPr>
        <w:pStyle w:val="2"/>
        <w:spacing w:line="360" w:lineRule="auto"/>
        <w:ind w:left="0" w:leftChars="0" w:firstLine="0" w:firstLineChars="0"/>
        <w:rPr>
          <w:rFonts w:hint="default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4、</w:t>
      </w:r>
      <w:r>
        <w:rPr>
          <w:rFonts w:hint="eastAsia" w:ascii="宋体" w:hAnsi="宋体" w:eastAsia="宋体" w:cs="Times New Roman"/>
          <w:sz w:val="18"/>
          <w:szCs w:val="18"/>
          <w:vertAlign w:val="baseline"/>
        </w:rPr>
        <w:t>★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履约保证金：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5000元整。</w:t>
      </w:r>
    </w:p>
    <w:p w14:paraId="140EF67A">
      <w:pPr>
        <w:pStyle w:val="2"/>
        <w:spacing w:line="360" w:lineRule="auto"/>
        <w:ind w:left="0" w:leftChars="0" w:firstLine="0" w:firstLineChars="0"/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交款方式：网银转账。</w:t>
      </w:r>
    </w:p>
    <w:p w14:paraId="1D7F5945">
      <w:pPr>
        <w:pStyle w:val="2"/>
        <w:spacing w:line="360" w:lineRule="auto"/>
        <w:ind w:left="0" w:leftChars="0" w:firstLine="0" w:firstLineChars="0"/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收款单位：四川文化产业职业学院</w:t>
      </w:r>
    </w:p>
    <w:p w14:paraId="3D39F852">
      <w:pPr>
        <w:pStyle w:val="2"/>
        <w:spacing w:line="360" w:lineRule="auto"/>
        <w:ind w:left="0" w:leftChars="0" w:firstLine="0" w:firstLineChars="0"/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开户银行：工行盐市口支行</w:t>
      </w:r>
    </w:p>
    <w:p w14:paraId="41B748AC">
      <w:pPr>
        <w:pStyle w:val="2"/>
        <w:spacing w:line="360" w:lineRule="auto"/>
        <w:ind w:left="0" w:leftChars="0" w:firstLine="0" w:firstLineChars="0"/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银行账号:4402902009100055397</w:t>
      </w:r>
    </w:p>
    <w:p w14:paraId="2D7DF650">
      <w:pPr>
        <w:pStyle w:val="2"/>
        <w:spacing w:line="360" w:lineRule="auto"/>
        <w:ind w:left="0" w:leftChars="0" w:firstLine="0" w:firstLineChars="0"/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交款时间：中标（成交）通知书发出后，采购合同签订前。</w:t>
      </w:r>
    </w:p>
    <w:p w14:paraId="31DFEF66">
      <w:pPr>
        <w:pStyle w:val="2"/>
        <w:spacing w:line="360" w:lineRule="auto"/>
        <w:ind w:left="0" w:leftChars="0" w:firstLine="0" w:firstLineChars="0"/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履约保证金退还时间方式：供应商完成合同约定所有内容并经采购人验收合格，采购人接到申请和交纳凭证资料文件后10日内无息退还至成交人。</w:t>
      </w:r>
    </w:p>
    <w:p w14:paraId="2CE44054">
      <w:pPr>
        <w:spacing w:before="120" w:beforeLines="50" w:after="120" w:afterLines="50" w:line="360" w:lineRule="auto"/>
        <w:rPr>
          <w:rFonts w:hint="eastAsia" w:ascii="宋体" w:hAnsi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5、</w:t>
      </w:r>
      <w:r>
        <w:rPr>
          <w:rFonts w:hint="eastAsia" w:ascii="宋体" w:hAnsi="宋体" w:eastAsia="宋体" w:cs="Times New Roman"/>
          <w:sz w:val="18"/>
          <w:szCs w:val="18"/>
          <w:vertAlign w:val="baseline"/>
        </w:rPr>
        <w:t>★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验收要求：</w:t>
      </w:r>
    </w:p>
    <w:p w14:paraId="6E0B4E8D">
      <w:pPr>
        <w:spacing w:before="120" w:beforeLines="50" w:after="120" w:afterLines="50" w:line="360" w:lineRule="auto"/>
        <w:rPr>
          <w:rFonts w:hint="eastAsia" w:ascii="宋体" w:hAnsi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《财政部关于进一步加强政府采购需求和履约验收管理的指导意见》(财库〔2016〕205号)的要求进行验收。</w:t>
      </w:r>
    </w:p>
    <w:p w14:paraId="514AE348">
      <w:pPr>
        <w:spacing w:before="120" w:beforeLines="50" w:after="120" w:afterLines="50"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lang w:val="en-US" w:eastAsia="zh-CN"/>
        </w:rPr>
        <w:t>6、</w:t>
      </w:r>
      <w:r>
        <w:rPr>
          <w:rFonts w:hint="eastAsia" w:ascii="宋体" w:hAnsi="宋体" w:eastAsia="宋体" w:cs="Times New Roman"/>
          <w:sz w:val="18"/>
          <w:szCs w:val="18"/>
          <w:vertAlign w:val="baseline"/>
        </w:rPr>
        <w:t>★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lang w:val="en-US" w:eastAsia="zh-CN"/>
        </w:rPr>
        <w:t>本项目报价</w:t>
      </w:r>
      <w:r>
        <w:rPr>
          <w:rFonts w:hint="eastAsia" w:ascii="宋体" w:hAnsi="宋体" w:cs="仿宋"/>
          <w:sz w:val="24"/>
        </w:rPr>
        <w:t>包括全部货物（设备）和服务价格，以及运输、装卸、配件、安装、调试、培训、维护、保险费、税费等一切相关费用</w:t>
      </w:r>
      <w:r>
        <w:rPr>
          <w:rFonts w:hint="eastAsia" w:ascii="宋体" w:hAnsi="宋体" w:cs="仿宋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E"/>
    <w:multiLevelType w:val="multilevel"/>
    <w:tmpl w:val="0000002E"/>
    <w:lvl w:ilvl="0" w:tentative="0">
      <w:start w:val="1"/>
      <w:numFmt w:val="decimal"/>
      <w:lvlText w:val="第%1章"/>
      <w:lvlJc w:val="left"/>
      <w:pPr>
        <w:ind w:left="283" w:hanging="425"/>
      </w:pPr>
      <w:rPr>
        <w:rFonts w:hint="default" w:ascii="Times New Roman" w:hAnsi="Times New Roman" w:eastAsia="宋体"/>
        <w:b/>
        <w:i w:val="0"/>
        <w:sz w:val="32"/>
        <w:szCs w:val="32"/>
      </w:rPr>
    </w:lvl>
    <w:lvl w:ilvl="1" w:tentative="0">
      <w:start w:val="1"/>
      <w:numFmt w:val="decimal"/>
      <w:pStyle w:val="4"/>
      <w:suff w:val="nothing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91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F0767"/>
    <w:rsid w:val="209E04D4"/>
    <w:rsid w:val="381F0767"/>
    <w:rsid w:val="4996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567"/>
      </w:tabs>
      <w:spacing w:beforeLines="50" w:afterLines="50" w:line="440" w:lineRule="exact"/>
      <w:ind w:left="0" w:leftChars="-58" w:hanging="139" w:hangingChars="66"/>
      <w:jc w:val="left"/>
      <w:outlineLvl w:val="1"/>
    </w:pPr>
    <w:rPr>
      <w:rFonts w:ascii="宋体" w:hAnsi="宋体"/>
      <w:b/>
      <w:bCs/>
      <w:iCs/>
      <w:color w:val="000000"/>
      <w:kern w:val="0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 w:val="18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2548</Words>
  <Characters>2769</Characters>
  <Lines>0</Lines>
  <Paragraphs>0</Paragraphs>
  <TotalTime>20</TotalTime>
  <ScaleCrop>false</ScaleCrop>
  <LinksUpToDate>false</LinksUpToDate>
  <CharactersWithSpaces>2778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2025-03-28T07:09:00Z</dcterms:created>
  <dc:creator>家有二宝</dc:creator>
  <cp:lastModifiedBy>家有二宝</cp:lastModifiedBy>
  <dcterms:modified xsi:type="dcterms:W3CDTF">2025-03-28T07:58:51Z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9FD81A91B7FC493DB35B149715A553B8_11</vt:lpwstr>
  </property>
  <property fmtid="{D5CDD505-2E9C-101B-9397-08002B2CF9AE}" pid="4" name="KSOTemplateDocerSaveRecord">
    <vt:lpwstr>eyJoZGlkIjoiNDc3YmRiM2UxY2M2NTI1Y2YxYWY3NDFkODgxYzRkZTYiLCJ1c2VySWQiOiI4NTA2NDQzNTYifQ==</vt:lpwstr>
  </property>
</Properties>
</file>