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line="576" w:lineRule="exact"/>
        <w:jc w:val="center"/>
        <w:textAlignment w:val="auto"/>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四川省金堂</w:t>
      </w:r>
    </w:p>
    <w:p>
      <w:pPr>
        <w:keepNext w:val="0"/>
        <w:keepLines w:val="0"/>
        <w:pageBreakBefore w:val="0"/>
        <w:kinsoku/>
        <w:overflowPunct/>
        <w:topLinePunct w:val="0"/>
        <w:autoSpaceDE/>
        <w:autoSpaceDN/>
        <w:bidi w:val="0"/>
        <w:adjustRightInd/>
        <w:snapToGrid/>
        <w:spacing w:line="576" w:lineRule="exact"/>
        <w:jc w:val="center"/>
        <w:textAlignment w:val="auto"/>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监狱智慧教室建设项目监理采购需求</w:t>
      </w:r>
    </w:p>
    <w:p>
      <w:pPr>
        <w:keepNext w:val="0"/>
        <w:keepLines w:val="0"/>
        <w:pageBreakBefore w:val="0"/>
        <w:kinsoku/>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44"/>
          <w:szCs w:val="44"/>
          <w:lang w:val="en-US" w:eastAsia="zh-CN"/>
        </w:rPr>
      </w:pPr>
    </w:p>
    <w:p>
      <w:pPr>
        <w:keepNext w:val="0"/>
        <w:keepLines w:val="0"/>
        <w:pageBreakBefore w:val="0"/>
        <w:kinsoku/>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lang w:eastAsia="zh-CN"/>
        </w:rPr>
        <w:t>一、</w:t>
      </w:r>
      <w:r>
        <w:rPr>
          <w:rFonts w:hint="eastAsia" w:ascii="黑体" w:hAnsi="黑体" w:eastAsia="黑体" w:cs="黑体"/>
          <w:sz w:val="32"/>
          <w:szCs w:val="32"/>
        </w:rPr>
        <w:t>项目概况</w:t>
      </w:r>
    </w:p>
    <w:p>
      <w:pPr>
        <w:pStyle w:val="3"/>
        <w:keepNext w:val="0"/>
        <w:keepLines w:val="0"/>
        <w:pageBreakBefore w:val="0"/>
        <w:kinsoku/>
        <w:overflowPunct/>
        <w:topLinePunct w:val="0"/>
        <w:autoSpaceDE/>
        <w:autoSpaceDN/>
        <w:bidi w:val="0"/>
        <w:adjustRightInd/>
        <w:snapToGrid/>
        <w:spacing w:line="576" w:lineRule="exact"/>
        <w:ind w:firstLine="624" w:firstLineChars="195"/>
        <w:textAlignment w:val="auto"/>
        <w:rPr>
          <w:rFonts w:hint="eastAsia" w:ascii="仿宋_GB2312" w:hAnsi="黑体" w:eastAsia="仿宋_GB2312" w:cs="Times New Roman"/>
          <w:kern w:val="2"/>
          <w:sz w:val="32"/>
          <w:szCs w:val="32"/>
          <w:u w:val="none"/>
          <w:lang w:val="en-US" w:eastAsia="zh-CN" w:bidi="ar-SA"/>
        </w:rPr>
      </w:pPr>
      <w:r>
        <w:rPr>
          <w:rFonts w:hint="eastAsia" w:ascii="仿宋_GB2312" w:hAnsi="黑体" w:eastAsia="仿宋_GB2312" w:cs="Times New Roman"/>
          <w:kern w:val="2"/>
          <w:sz w:val="32"/>
          <w:szCs w:val="32"/>
          <w:u w:val="none"/>
          <w:lang w:val="en-US" w:eastAsia="zh-CN" w:bidi="ar-SA"/>
        </w:rPr>
        <w:t>建设内容：对原教育中心房间进行改造升级同时购置安装相关设施设备和软件，布置网络信路和传输终端并与监狱电教中心、和省局平台实现互通，建成后可实现与其他教学资源共享。</w:t>
      </w:r>
    </w:p>
    <w:p>
      <w:pPr>
        <w:pStyle w:val="2"/>
        <w:keepNext w:val="0"/>
        <w:keepLines w:val="0"/>
        <w:pageBreakBefore w:val="0"/>
        <w:numPr>
          <w:ilvl w:val="0"/>
          <w:numId w:val="1"/>
        </w:numPr>
        <w:kinsoku/>
        <w:overflowPunct/>
        <w:topLinePunct w:val="0"/>
        <w:autoSpaceDE/>
        <w:autoSpaceDN/>
        <w:bidi w:val="0"/>
        <w:adjustRightInd/>
        <w:snapToGrid/>
        <w:spacing w:line="576" w:lineRule="exact"/>
        <w:ind w:left="-13" w:leftChars="0" w:firstLine="640" w:firstLineChars="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主要监理范围及工作内容</w:t>
      </w:r>
    </w:p>
    <w:p>
      <w:pPr>
        <w:keepNext w:val="0"/>
        <w:keepLines w:val="0"/>
        <w:pageBreakBefore w:val="0"/>
        <w:numPr>
          <w:ilvl w:val="0"/>
          <w:numId w:val="0"/>
        </w:numPr>
        <w:tabs>
          <w:tab w:val="left" w:pos="1047"/>
          <w:tab w:val="left" w:pos="1276"/>
        </w:tabs>
        <w:kinsoku/>
        <w:overflowPunct/>
        <w:topLinePunct w:val="0"/>
        <w:autoSpaceDE/>
        <w:autoSpaceDN/>
        <w:bidi w:val="0"/>
        <w:adjustRightInd/>
        <w:snapToGrid/>
        <w:spacing w:line="576" w:lineRule="exact"/>
        <w:ind w:firstLine="321" w:firstLineChars="100"/>
        <w:textAlignment w:val="auto"/>
        <w:rPr>
          <w:rFonts w:hint="eastAsia" w:ascii="仿宋_GB2312" w:hAnsi="黑体" w:eastAsia="仿宋_GB2312" w:cs="Times New Roman"/>
          <w:b/>
          <w:bCs/>
          <w:kern w:val="2"/>
          <w:sz w:val="32"/>
          <w:szCs w:val="32"/>
          <w:u w:val="none"/>
          <w:lang w:val="en-US" w:eastAsia="zh-CN" w:bidi="ar-SA"/>
        </w:rPr>
      </w:pPr>
      <w:r>
        <w:rPr>
          <w:rFonts w:hint="eastAsia" w:ascii="仿宋_GB2312" w:hAnsi="黑体" w:eastAsia="仿宋_GB2312" w:cs="Times New Roman"/>
          <w:b/>
          <w:bCs/>
          <w:kern w:val="2"/>
          <w:sz w:val="32"/>
          <w:szCs w:val="32"/>
          <w:u w:val="none"/>
          <w:lang w:val="en-US" w:eastAsia="zh-CN" w:bidi="ar-SA"/>
        </w:rPr>
        <w:t>（一）监理范围</w:t>
      </w:r>
    </w:p>
    <w:p>
      <w:pPr>
        <w:keepNext w:val="0"/>
        <w:keepLines w:val="0"/>
        <w:pageBreakBefore w:val="0"/>
        <w:tabs>
          <w:tab w:val="left" w:pos="1287"/>
        </w:tabs>
        <w:kinsoku/>
        <w:overflowPunct/>
        <w:topLinePunct w:val="0"/>
        <w:autoSpaceDE/>
        <w:autoSpaceDN/>
        <w:bidi w:val="0"/>
        <w:adjustRightInd/>
        <w:snapToGrid/>
        <w:spacing w:line="576" w:lineRule="exact"/>
        <w:ind w:firstLine="567"/>
        <w:textAlignment w:val="auto"/>
        <w:rPr>
          <w:rFonts w:hint="eastAsia" w:ascii="仿宋_GB2312" w:hAnsi="黑体" w:eastAsia="仿宋_GB2312" w:cs="Times New Roman"/>
          <w:kern w:val="2"/>
          <w:sz w:val="32"/>
          <w:szCs w:val="32"/>
          <w:u w:val="none"/>
          <w:lang w:val="en-US" w:eastAsia="zh-CN" w:bidi="ar-SA"/>
        </w:rPr>
      </w:pPr>
      <w:r>
        <w:rPr>
          <w:rFonts w:hint="eastAsia" w:ascii="仿宋_GB2312" w:hAnsi="黑体" w:eastAsia="仿宋_GB2312" w:cs="Times New Roman"/>
          <w:kern w:val="2"/>
          <w:sz w:val="32"/>
          <w:szCs w:val="32"/>
          <w:u w:val="none"/>
          <w:lang w:val="en-US" w:eastAsia="zh-CN" w:bidi="ar-SA"/>
        </w:rPr>
        <w:t>对智慧教室项目建设内容开工阶段、实施阶段、验收阶段开展全方位“控制、管理、协调”监理服务。即：投资控制、进度控制、质量控制、合同管理、安全管理和信息管理、工程的组织协调。</w:t>
      </w:r>
    </w:p>
    <w:p>
      <w:pPr>
        <w:keepNext w:val="0"/>
        <w:keepLines w:val="0"/>
        <w:pageBreakBefore w:val="0"/>
        <w:numPr>
          <w:ilvl w:val="0"/>
          <w:numId w:val="0"/>
        </w:numPr>
        <w:tabs>
          <w:tab w:val="left" w:pos="1047"/>
          <w:tab w:val="left" w:pos="1276"/>
        </w:tabs>
        <w:kinsoku/>
        <w:overflowPunct/>
        <w:topLinePunct w:val="0"/>
        <w:autoSpaceDE/>
        <w:autoSpaceDN/>
        <w:bidi w:val="0"/>
        <w:adjustRightInd/>
        <w:snapToGrid/>
        <w:spacing w:line="576" w:lineRule="exact"/>
        <w:ind w:firstLine="321" w:firstLineChars="100"/>
        <w:textAlignment w:val="auto"/>
        <w:rPr>
          <w:rFonts w:hint="eastAsia" w:ascii="仿宋_GB2312" w:hAnsi="黑体" w:eastAsia="仿宋_GB2312" w:cs="Times New Roman"/>
          <w:b/>
          <w:bCs/>
          <w:kern w:val="2"/>
          <w:sz w:val="32"/>
          <w:szCs w:val="32"/>
          <w:u w:val="none"/>
          <w:lang w:val="en-US" w:eastAsia="zh-CN" w:bidi="ar-SA"/>
        </w:rPr>
      </w:pPr>
      <w:r>
        <w:rPr>
          <w:rFonts w:hint="eastAsia" w:ascii="仿宋_GB2312" w:hAnsi="黑体" w:eastAsia="仿宋_GB2312" w:cs="Times New Roman"/>
          <w:b/>
          <w:bCs/>
          <w:kern w:val="2"/>
          <w:sz w:val="32"/>
          <w:szCs w:val="32"/>
          <w:u w:val="none"/>
          <w:lang w:val="en-US" w:eastAsia="zh-CN" w:bidi="ar-SA"/>
        </w:rPr>
        <w:t>（二）监理工作内容</w:t>
      </w:r>
    </w:p>
    <w:p>
      <w:pPr>
        <w:keepNext w:val="0"/>
        <w:keepLines w:val="0"/>
        <w:pageBreakBefore w:val="0"/>
        <w:kinsoku/>
        <w:overflowPunct/>
        <w:topLinePunct w:val="0"/>
        <w:autoSpaceDE/>
        <w:autoSpaceDN/>
        <w:bidi w:val="0"/>
        <w:adjustRightInd/>
        <w:snapToGrid/>
        <w:spacing w:line="576" w:lineRule="exact"/>
        <w:ind w:firstLine="642" w:firstLineChars="200"/>
        <w:textAlignment w:val="auto"/>
        <w:rPr>
          <w:rFonts w:hint="eastAsia" w:ascii="仿宋_GB2312" w:hAnsi="黑体" w:eastAsia="仿宋_GB2312" w:cs="Times New Roman"/>
          <w:b/>
          <w:bCs/>
          <w:kern w:val="2"/>
          <w:sz w:val="32"/>
          <w:szCs w:val="32"/>
          <w:u w:val="none"/>
          <w:lang w:val="en-US" w:eastAsia="zh-CN" w:bidi="ar-SA"/>
        </w:rPr>
      </w:pPr>
      <w:r>
        <w:rPr>
          <w:rFonts w:hint="eastAsia" w:ascii="仿宋_GB2312" w:hAnsi="黑体" w:eastAsia="仿宋_GB2312" w:cs="Times New Roman"/>
          <w:b/>
          <w:bCs/>
          <w:kern w:val="2"/>
          <w:sz w:val="32"/>
          <w:szCs w:val="32"/>
          <w:u w:val="none"/>
          <w:lang w:val="en-US" w:eastAsia="zh-CN" w:bidi="ar-SA"/>
        </w:rPr>
        <w:t>1.开工阶段：</w:t>
      </w:r>
    </w:p>
    <w:p>
      <w:pPr>
        <w:keepNext w:val="0"/>
        <w:keepLines w:val="0"/>
        <w:pageBreakBefore w:val="0"/>
        <w:kinsoku/>
        <w:overflowPunct/>
        <w:topLinePunct w:val="0"/>
        <w:autoSpaceDE/>
        <w:autoSpaceDN/>
        <w:bidi w:val="0"/>
        <w:adjustRightInd/>
        <w:snapToGrid/>
        <w:spacing w:line="576" w:lineRule="exact"/>
        <w:ind w:firstLine="640" w:firstLineChars="200"/>
        <w:textAlignment w:val="auto"/>
        <w:rPr>
          <w:rFonts w:hint="eastAsia" w:ascii="仿宋_GB2312" w:hAnsi="黑体" w:eastAsia="仿宋_GB2312" w:cs="Times New Roman"/>
          <w:kern w:val="2"/>
          <w:sz w:val="32"/>
          <w:szCs w:val="32"/>
          <w:u w:val="none"/>
          <w:lang w:val="en-US" w:eastAsia="zh-CN" w:bidi="ar-SA"/>
        </w:rPr>
      </w:pPr>
      <w:r>
        <w:rPr>
          <w:rFonts w:hint="eastAsia" w:ascii="仿宋_GB2312" w:hAnsi="黑体" w:eastAsia="仿宋_GB2312" w:cs="Times New Roman"/>
          <w:kern w:val="2"/>
          <w:sz w:val="32"/>
          <w:szCs w:val="32"/>
          <w:u w:val="none"/>
          <w:lang w:val="en-US" w:eastAsia="zh-CN" w:bidi="ar-SA"/>
        </w:rPr>
        <w:t>组织项目启动会，审核承建单位提交的开工报审资料，审核承建单位提交的施工方案，出具监理评审意见；</w:t>
      </w:r>
    </w:p>
    <w:p>
      <w:pPr>
        <w:keepNext w:val="0"/>
        <w:keepLines w:val="0"/>
        <w:pageBreakBefore w:val="0"/>
        <w:kinsoku/>
        <w:overflowPunct/>
        <w:topLinePunct w:val="0"/>
        <w:autoSpaceDE/>
        <w:autoSpaceDN/>
        <w:bidi w:val="0"/>
        <w:adjustRightInd/>
        <w:snapToGrid/>
        <w:spacing w:line="576" w:lineRule="exact"/>
        <w:ind w:left="420" w:firstLine="420"/>
        <w:textAlignment w:val="auto"/>
        <w:rPr>
          <w:rFonts w:hint="eastAsia" w:ascii="仿宋_GB2312" w:hAnsi="黑体" w:eastAsia="仿宋_GB2312" w:cs="Times New Roman"/>
          <w:b/>
          <w:bCs/>
          <w:kern w:val="2"/>
          <w:sz w:val="32"/>
          <w:szCs w:val="32"/>
          <w:u w:val="none"/>
          <w:lang w:val="en-US" w:eastAsia="zh-CN" w:bidi="ar-SA"/>
        </w:rPr>
      </w:pPr>
      <w:r>
        <w:rPr>
          <w:rFonts w:hint="eastAsia" w:ascii="仿宋_GB2312" w:hAnsi="黑体" w:eastAsia="仿宋_GB2312" w:cs="Times New Roman"/>
          <w:b/>
          <w:bCs/>
          <w:kern w:val="2"/>
          <w:sz w:val="32"/>
          <w:szCs w:val="32"/>
          <w:u w:val="none"/>
          <w:lang w:val="en-US" w:eastAsia="zh-CN" w:bidi="ar-SA"/>
        </w:rPr>
        <w:t>2.实施阶段：</w:t>
      </w:r>
    </w:p>
    <w:p>
      <w:pPr>
        <w:keepNext w:val="0"/>
        <w:keepLines w:val="0"/>
        <w:pageBreakBefore w:val="0"/>
        <w:numPr>
          <w:ilvl w:val="0"/>
          <w:numId w:val="0"/>
        </w:numPr>
        <w:kinsoku/>
        <w:overflowPunct/>
        <w:topLinePunct w:val="0"/>
        <w:autoSpaceDE/>
        <w:autoSpaceDN/>
        <w:bidi w:val="0"/>
        <w:adjustRightInd/>
        <w:snapToGrid/>
        <w:spacing w:line="576" w:lineRule="exact"/>
        <w:ind w:firstLine="960" w:firstLineChars="300"/>
        <w:textAlignment w:val="auto"/>
        <w:rPr>
          <w:rFonts w:hint="eastAsia" w:ascii="仿宋_GB2312" w:hAnsi="黑体" w:eastAsia="仿宋_GB2312" w:cs="Times New Roman"/>
          <w:kern w:val="2"/>
          <w:sz w:val="32"/>
          <w:szCs w:val="32"/>
          <w:u w:val="none"/>
          <w:lang w:val="en-US" w:eastAsia="zh-CN" w:bidi="ar-SA"/>
        </w:rPr>
      </w:pPr>
      <w:r>
        <w:rPr>
          <w:rFonts w:hint="eastAsia" w:ascii="仿宋_GB2312" w:hAnsi="黑体" w:eastAsia="仿宋_GB2312" w:cs="Times New Roman"/>
          <w:kern w:val="2"/>
          <w:sz w:val="32"/>
          <w:szCs w:val="32"/>
          <w:u w:val="none"/>
          <w:lang w:val="en-US" w:eastAsia="zh-CN" w:bidi="ar-SA"/>
        </w:rPr>
        <w:t>核查合同执行情况，集中检查、审核承建单位采购内容到货情况（包括到货日期、型号、数量），每次完成监理工作后出具一份阶段性监理报告；</w:t>
      </w:r>
    </w:p>
    <w:p>
      <w:pPr>
        <w:keepNext w:val="0"/>
        <w:keepLines w:val="0"/>
        <w:pageBreakBefore w:val="0"/>
        <w:numPr>
          <w:ilvl w:val="0"/>
          <w:numId w:val="0"/>
        </w:numPr>
        <w:kinsoku/>
        <w:overflowPunct/>
        <w:topLinePunct w:val="0"/>
        <w:autoSpaceDE/>
        <w:autoSpaceDN/>
        <w:bidi w:val="0"/>
        <w:adjustRightInd/>
        <w:snapToGrid/>
        <w:spacing w:line="576" w:lineRule="exact"/>
        <w:ind w:firstLine="640" w:firstLineChars="200"/>
        <w:textAlignment w:val="auto"/>
        <w:rPr>
          <w:rFonts w:hint="eastAsia" w:ascii="仿宋_GB2312" w:hAnsi="黑体" w:eastAsia="仿宋_GB2312" w:cs="Times New Roman"/>
          <w:kern w:val="2"/>
          <w:sz w:val="32"/>
          <w:szCs w:val="32"/>
          <w:u w:val="none"/>
          <w:lang w:val="en-US" w:eastAsia="zh-CN" w:bidi="ar-SA"/>
        </w:rPr>
      </w:pPr>
      <w:r>
        <w:rPr>
          <w:rFonts w:hint="eastAsia" w:ascii="仿宋_GB2312" w:hAnsi="黑体" w:eastAsia="仿宋_GB2312" w:cs="Times New Roman"/>
          <w:kern w:val="2"/>
          <w:sz w:val="32"/>
          <w:szCs w:val="32"/>
          <w:u w:val="none"/>
          <w:lang w:val="en-US" w:eastAsia="zh-CN" w:bidi="ar-SA"/>
        </w:rPr>
        <w:t>对隐蔽工程进行随工检查，在检查过程中，如发现存在重大质量隐患，应形成专题监理报告报委托人，并向承建单位下发停工令；</w:t>
      </w:r>
    </w:p>
    <w:p>
      <w:pPr>
        <w:keepNext w:val="0"/>
        <w:keepLines w:val="0"/>
        <w:pageBreakBefore w:val="0"/>
        <w:numPr>
          <w:ilvl w:val="0"/>
          <w:numId w:val="0"/>
        </w:numPr>
        <w:kinsoku/>
        <w:overflowPunct/>
        <w:topLinePunct w:val="0"/>
        <w:autoSpaceDE/>
        <w:autoSpaceDN/>
        <w:bidi w:val="0"/>
        <w:adjustRightInd/>
        <w:snapToGrid/>
        <w:spacing w:line="576" w:lineRule="exact"/>
        <w:ind w:firstLine="640" w:firstLineChars="200"/>
        <w:textAlignment w:val="auto"/>
        <w:rPr>
          <w:rFonts w:hint="eastAsia" w:ascii="仿宋_GB2312" w:hAnsi="黑体" w:eastAsia="仿宋_GB2312" w:cs="Times New Roman"/>
          <w:kern w:val="2"/>
          <w:sz w:val="32"/>
          <w:szCs w:val="32"/>
          <w:u w:val="none"/>
          <w:lang w:val="en-US" w:eastAsia="zh-CN" w:bidi="ar-SA"/>
        </w:rPr>
      </w:pPr>
      <w:r>
        <w:rPr>
          <w:rFonts w:hint="eastAsia" w:ascii="仿宋_GB2312" w:hAnsi="黑体" w:eastAsia="仿宋_GB2312" w:cs="Times New Roman"/>
          <w:kern w:val="2"/>
          <w:sz w:val="32"/>
          <w:szCs w:val="32"/>
          <w:u w:val="none"/>
          <w:lang w:val="en-US" w:eastAsia="zh-CN" w:bidi="ar-SA"/>
        </w:rPr>
        <w:t>审核承建单位提交的测试计划、方案，现场组织三方测试（委托人、监理方和承建商），每次完成监理工作后出具一份阶段性监理报告；</w:t>
      </w:r>
    </w:p>
    <w:p>
      <w:pPr>
        <w:pStyle w:val="2"/>
        <w:keepNext w:val="0"/>
        <w:keepLines w:val="0"/>
        <w:pageBreakBefore w:val="0"/>
        <w:kinsoku/>
        <w:overflowPunct/>
        <w:topLinePunct w:val="0"/>
        <w:autoSpaceDE/>
        <w:autoSpaceDN/>
        <w:bidi w:val="0"/>
        <w:adjustRightInd/>
        <w:snapToGrid/>
        <w:spacing w:line="576" w:lineRule="exact"/>
        <w:textAlignment w:val="auto"/>
        <w:rPr>
          <w:rFonts w:hint="default"/>
          <w:lang w:val="en-US" w:eastAsia="zh-CN"/>
        </w:rPr>
      </w:pPr>
      <w:r>
        <w:rPr>
          <w:rFonts w:hint="eastAsia"/>
          <w:lang w:val="en-US" w:eastAsia="zh-CN"/>
        </w:rPr>
        <w:t xml:space="preserve">     </w:t>
      </w:r>
      <w:r>
        <w:rPr>
          <w:rFonts w:hint="eastAsia" w:ascii="仿宋_GB2312" w:hAnsi="黑体" w:eastAsia="仿宋_GB2312" w:cs="Times New Roman"/>
          <w:kern w:val="2"/>
          <w:sz w:val="32"/>
          <w:szCs w:val="32"/>
          <w:u w:val="none"/>
          <w:lang w:val="en-US" w:eastAsia="zh-CN" w:bidi="ar-SA"/>
        </w:rPr>
        <w:t xml:space="preserve"> 督促、审核承建方完善项目文档资料。在实施阶段对承建方提交材料设备进行检查验收，确保符合招投标文件要求，并出具审核报告。</w:t>
      </w:r>
    </w:p>
    <w:p>
      <w:pPr>
        <w:keepNext w:val="0"/>
        <w:keepLines w:val="0"/>
        <w:pageBreakBefore w:val="0"/>
        <w:kinsoku/>
        <w:overflowPunct/>
        <w:topLinePunct w:val="0"/>
        <w:autoSpaceDE/>
        <w:autoSpaceDN/>
        <w:bidi w:val="0"/>
        <w:adjustRightInd/>
        <w:snapToGrid/>
        <w:spacing w:line="576" w:lineRule="exact"/>
        <w:ind w:left="420" w:firstLine="420"/>
        <w:textAlignment w:val="auto"/>
        <w:rPr>
          <w:rFonts w:hint="eastAsia" w:ascii="仿宋_GB2312" w:hAnsi="黑体" w:eastAsia="仿宋_GB2312" w:cs="Times New Roman"/>
          <w:b/>
          <w:bCs/>
          <w:kern w:val="2"/>
          <w:sz w:val="32"/>
          <w:szCs w:val="32"/>
          <w:u w:val="none"/>
          <w:lang w:val="en-US" w:eastAsia="zh-CN" w:bidi="ar-SA"/>
        </w:rPr>
      </w:pPr>
      <w:r>
        <w:rPr>
          <w:rFonts w:hint="eastAsia" w:ascii="仿宋_GB2312" w:hAnsi="黑体" w:eastAsia="仿宋_GB2312" w:cs="Times New Roman"/>
          <w:b/>
          <w:bCs/>
          <w:kern w:val="2"/>
          <w:sz w:val="32"/>
          <w:szCs w:val="32"/>
          <w:u w:val="none"/>
          <w:lang w:val="en-US" w:eastAsia="zh-CN" w:bidi="ar-SA"/>
        </w:rPr>
        <w:t>3.初步验收阶段：</w:t>
      </w:r>
    </w:p>
    <w:p>
      <w:pPr>
        <w:keepNext w:val="0"/>
        <w:keepLines w:val="0"/>
        <w:pageBreakBefore w:val="0"/>
        <w:numPr>
          <w:ilvl w:val="0"/>
          <w:numId w:val="0"/>
        </w:numPr>
        <w:kinsoku/>
        <w:overflowPunct/>
        <w:topLinePunct w:val="0"/>
        <w:autoSpaceDE/>
        <w:autoSpaceDN/>
        <w:bidi w:val="0"/>
        <w:adjustRightInd/>
        <w:snapToGrid/>
        <w:spacing w:line="576" w:lineRule="exact"/>
        <w:ind w:firstLine="960" w:firstLineChars="300"/>
        <w:textAlignment w:val="auto"/>
        <w:rPr>
          <w:rFonts w:hint="eastAsia" w:ascii="仿宋_GB2312" w:hAnsi="黑体" w:eastAsia="仿宋_GB2312" w:cs="Times New Roman"/>
          <w:b/>
          <w:bCs/>
          <w:kern w:val="2"/>
          <w:sz w:val="32"/>
          <w:szCs w:val="32"/>
          <w:u w:val="none"/>
          <w:lang w:val="en-US" w:eastAsia="zh-CN" w:bidi="ar-SA"/>
        </w:rPr>
      </w:pPr>
      <w:r>
        <w:rPr>
          <w:rFonts w:hint="eastAsia" w:ascii="仿宋_GB2312" w:hAnsi="黑体" w:eastAsia="仿宋_GB2312" w:cs="Times New Roman"/>
          <w:kern w:val="2"/>
          <w:sz w:val="32"/>
          <w:szCs w:val="32"/>
          <w:u w:val="none"/>
          <w:lang w:val="en-US" w:eastAsia="zh-CN" w:bidi="ar-SA"/>
        </w:rPr>
        <w:t>审核承建单位提交验收文档资料，并监督承建单位整改；协助委托人组织项目初步验收，出具验收会议纪要，</w:t>
      </w:r>
      <w:r>
        <w:rPr>
          <w:rFonts w:hint="eastAsia" w:ascii="仿宋_GB2312" w:hAnsi="黑体" w:eastAsia="仿宋_GB2312" w:cs="Times New Roman"/>
          <w:b/>
          <w:bCs/>
          <w:kern w:val="2"/>
          <w:sz w:val="32"/>
          <w:szCs w:val="32"/>
          <w:u w:val="none"/>
          <w:lang w:val="en-US" w:eastAsia="zh-CN" w:bidi="ar-SA"/>
        </w:rPr>
        <w:t>提交初步验收质量评估报告；签署初步验收报告、初步验收证书。</w:t>
      </w:r>
    </w:p>
    <w:p>
      <w:pPr>
        <w:keepNext w:val="0"/>
        <w:keepLines w:val="0"/>
        <w:pageBreakBefore w:val="0"/>
        <w:kinsoku/>
        <w:overflowPunct/>
        <w:topLinePunct w:val="0"/>
        <w:autoSpaceDE/>
        <w:autoSpaceDN/>
        <w:bidi w:val="0"/>
        <w:adjustRightInd/>
        <w:snapToGrid/>
        <w:spacing w:line="576" w:lineRule="exact"/>
        <w:ind w:left="420" w:firstLine="420"/>
        <w:textAlignment w:val="auto"/>
        <w:rPr>
          <w:rFonts w:hint="eastAsia" w:ascii="仿宋_GB2312" w:hAnsi="黑体" w:eastAsia="仿宋_GB2312" w:cs="Times New Roman"/>
          <w:b/>
          <w:bCs/>
          <w:kern w:val="2"/>
          <w:sz w:val="32"/>
          <w:szCs w:val="32"/>
          <w:u w:val="none"/>
          <w:lang w:val="en-US" w:eastAsia="zh-CN" w:bidi="ar-SA"/>
        </w:rPr>
      </w:pPr>
      <w:r>
        <w:rPr>
          <w:rFonts w:hint="eastAsia" w:ascii="仿宋_GB2312" w:hAnsi="黑体" w:eastAsia="仿宋_GB2312" w:cs="Times New Roman"/>
          <w:b/>
          <w:bCs/>
          <w:kern w:val="2"/>
          <w:sz w:val="32"/>
          <w:szCs w:val="32"/>
          <w:u w:val="none"/>
          <w:lang w:val="en-US" w:eastAsia="zh-CN" w:bidi="ar-SA"/>
        </w:rPr>
        <w:t>4.试运行阶段：</w:t>
      </w:r>
    </w:p>
    <w:p>
      <w:pPr>
        <w:keepNext w:val="0"/>
        <w:keepLines w:val="0"/>
        <w:pageBreakBefore w:val="0"/>
        <w:numPr>
          <w:ilvl w:val="0"/>
          <w:numId w:val="0"/>
        </w:numPr>
        <w:kinsoku/>
        <w:overflowPunct/>
        <w:topLinePunct w:val="0"/>
        <w:autoSpaceDE/>
        <w:autoSpaceDN/>
        <w:bidi w:val="0"/>
        <w:adjustRightInd/>
        <w:snapToGrid/>
        <w:spacing w:line="576" w:lineRule="exact"/>
        <w:ind w:firstLine="640" w:firstLineChars="200"/>
        <w:textAlignment w:val="auto"/>
        <w:rPr>
          <w:rFonts w:hint="eastAsia" w:ascii="仿宋_GB2312" w:hAnsi="黑体" w:eastAsia="仿宋_GB2312" w:cs="Times New Roman"/>
          <w:kern w:val="2"/>
          <w:sz w:val="32"/>
          <w:szCs w:val="32"/>
          <w:u w:val="none"/>
          <w:lang w:val="en-US" w:eastAsia="zh-CN" w:bidi="ar-SA"/>
        </w:rPr>
      </w:pPr>
      <w:r>
        <w:rPr>
          <w:rFonts w:hint="eastAsia" w:ascii="仿宋_GB2312" w:hAnsi="黑体" w:eastAsia="仿宋_GB2312" w:cs="Times New Roman"/>
          <w:kern w:val="2"/>
          <w:sz w:val="32"/>
          <w:szCs w:val="32"/>
          <w:u w:val="none"/>
          <w:lang w:val="en-US" w:eastAsia="zh-CN" w:bidi="ar-SA"/>
        </w:rPr>
        <w:t>审核承建单位提交的试运行计划、方案，并签署监理意见；督促承建方对试运行阶段发现问题进行整改。</w:t>
      </w:r>
    </w:p>
    <w:p>
      <w:pPr>
        <w:keepNext w:val="0"/>
        <w:keepLines w:val="0"/>
        <w:pageBreakBefore w:val="0"/>
        <w:kinsoku/>
        <w:overflowPunct/>
        <w:topLinePunct w:val="0"/>
        <w:autoSpaceDE/>
        <w:autoSpaceDN/>
        <w:bidi w:val="0"/>
        <w:adjustRightInd/>
        <w:snapToGrid/>
        <w:spacing w:line="576" w:lineRule="exact"/>
        <w:ind w:left="420" w:firstLine="420"/>
        <w:textAlignment w:val="auto"/>
        <w:rPr>
          <w:rFonts w:hint="eastAsia" w:ascii="仿宋_GB2312" w:hAnsi="黑体" w:eastAsia="仿宋_GB2312" w:cs="Times New Roman"/>
          <w:b/>
          <w:bCs/>
          <w:kern w:val="2"/>
          <w:sz w:val="32"/>
          <w:szCs w:val="32"/>
          <w:u w:val="none"/>
          <w:lang w:val="en-US" w:eastAsia="zh-CN" w:bidi="ar-SA"/>
        </w:rPr>
      </w:pPr>
      <w:r>
        <w:rPr>
          <w:rFonts w:hint="eastAsia" w:ascii="仿宋_GB2312" w:hAnsi="黑体" w:eastAsia="仿宋_GB2312" w:cs="Times New Roman"/>
          <w:b/>
          <w:bCs/>
          <w:kern w:val="2"/>
          <w:sz w:val="32"/>
          <w:szCs w:val="32"/>
          <w:u w:val="none"/>
          <w:lang w:val="en-US" w:eastAsia="zh-CN" w:bidi="ar-SA"/>
        </w:rPr>
        <w:t>5.竣工验收阶段：</w:t>
      </w:r>
    </w:p>
    <w:p>
      <w:pPr>
        <w:keepNext w:val="0"/>
        <w:keepLines w:val="0"/>
        <w:pageBreakBefore w:val="0"/>
        <w:numPr>
          <w:ilvl w:val="0"/>
          <w:numId w:val="0"/>
        </w:numPr>
        <w:kinsoku/>
        <w:overflowPunct/>
        <w:topLinePunct w:val="0"/>
        <w:autoSpaceDE/>
        <w:autoSpaceDN/>
        <w:bidi w:val="0"/>
        <w:adjustRightInd/>
        <w:snapToGrid/>
        <w:spacing w:line="576" w:lineRule="exact"/>
        <w:ind w:firstLine="640" w:firstLineChars="200"/>
        <w:textAlignment w:val="auto"/>
        <w:rPr>
          <w:rFonts w:hint="eastAsia" w:ascii="仿宋_GB2312" w:hAnsi="黑体" w:eastAsia="仿宋_GB2312" w:cs="Times New Roman"/>
          <w:kern w:val="2"/>
          <w:sz w:val="32"/>
          <w:szCs w:val="32"/>
          <w:u w:val="none"/>
          <w:lang w:val="en-US" w:eastAsia="zh-CN" w:bidi="ar-SA"/>
        </w:rPr>
      </w:pPr>
      <w:r>
        <w:rPr>
          <w:rFonts w:hint="eastAsia" w:ascii="仿宋_GB2312" w:hAnsi="黑体" w:eastAsia="仿宋_GB2312" w:cs="Times New Roman"/>
          <w:kern w:val="2"/>
          <w:sz w:val="32"/>
          <w:szCs w:val="32"/>
          <w:u w:val="none"/>
          <w:lang w:val="en-US" w:eastAsia="zh-CN" w:bidi="ar-SA"/>
        </w:rPr>
        <w:t>审核承建单位提交验收文档资料，并监督承建单位整改；在试运行结束后竣工验收前</w:t>
      </w:r>
      <w:r>
        <w:rPr>
          <w:rFonts w:hint="eastAsia" w:ascii="仿宋_GB2312" w:hAnsi="黑体" w:eastAsia="仿宋_GB2312" w:cs="Times New Roman"/>
          <w:b/>
          <w:bCs/>
          <w:kern w:val="2"/>
          <w:sz w:val="32"/>
          <w:szCs w:val="32"/>
          <w:u w:val="none"/>
          <w:lang w:val="en-US" w:eastAsia="zh-CN" w:bidi="ar-SA"/>
        </w:rPr>
        <w:t>提交监理单位竣工验收质量评估报告；</w:t>
      </w:r>
    </w:p>
    <w:p>
      <w:pPr>
        <w:keepNext w:val="0"/>
        <w:keepLines w:val="0"/>
        <w:pageBreakBefore w:val="0"/>
        <w:numPr>
          <w:ilvl w:val="0"/>
          <w:numId w:val="0"/>
        </w:numPr>
        <w:kinsoku/>
        <w:overflowPunct/>
        <w:topLinePunct w:val="0"/>
        <w:autoSpaceDE/>
        <w:autoSpaceDN/>
        <w:bidi w:val="0"/>
        <w:adjustRightInd/>
        <w:snapToGrid/>
        <w:spacing w:line="576" w:lineRule="exact"/>
        <w:ind w:firstLine="640" w:firstLineChars="200"/>
        <w:textAlignment w:val="auto"/>
        <w:rPr>
          <w:rFonts w:hint="eastAsia" w:ascii="仿宋_GB2312" w:hAnsi="黑体" w:eastAsia="仿宋_GB2312" w:cs="Times New Roman"/>
          <w:kern w:val="2"/>
          <w:sz w:val="32"/>
          <w:szCs w:val="32"/>
          <w:u w:val="none"/>
          <w:lang w:val="en-US" w:eastAsia="zh-CN" w:bidi="ar-SA"/>
        </w:rPr>
      </w:pPr>
      <w:r>
        <w:rPr>
          <w:rFonts w:hint="eastAsia" w:ascii="仿宋_GB2312" w:hAnsi="黑体" w:eastAsia="仿宋_GB2312" w:cs="Times New Roman"/>
          <w:kern w:val="2"/>
          <w:sz w:val="32"/>
          <w:szCs w:val="32"/>
          <w:u w:val="none"/>
          <w:lang w:val="en-US" w:eastAsia="zh-CN" w:bidi="ar-SA"/>
        </w:rPr>
        <w:t>协助委托人组织项目竣工验收，出具验收会议纪要；签署竣工验收报告、竣工验收证明书；编制并提交监理文档集和监理总结报告；</w:t>
      </w:r>
    </w:p>
    <w:p>
      <w:pPr>
        <w:keepNext w:val="0"/>
        <w:keepLines w:val="0"/>
        <w:pageBreakBefore w:val="0"/>
        <w:kinsoku/>
        <w:overflowPunct/>
        <w:topLinePunct w:val="0"/>
        <w:autoSpaceDE/>
        <w:autoSpaceDN/>
        <w:bidi w:val="0"/>
        <w:adjustRightInd/>
        <w:snapToGrid/>
        <w:spacing w:line="576" w:lineRule="exact"/>
        <w:ind w:left="420" w:firstLine="420"/>
        <w:textAlignment w:val="auto"/>
        <w:rPr>
          <w:rFonts w:hint="eastAsia" w:ascii="仿宋_GB2312" w:hAnsi="黑体" w:eastAsia="仿宋_GB2312" w:cs="Times New Roman"/>
          <w:b/>
          <w:bCs/>
          <w:kern w:val="2"/>
          <w:sz w:val="32"/>
          <w:szCs w:val="32"/>
          <w:u w:val="none"/>
          <w:lang w:val="en-US" w:eastAsia="zh-CN" w:bidi="ar-SA"/>
        </w:rPr>
      </w:pPr>
      <w:r>
        <w:rPr>
          <w:rFonts w:hint="eastAsia" w:ascii="仿宋_GB2312" w:hAnsi="黑体" w:eastAsia="仿宋_GB2312" w:cs="Times New Roman"/>
          <w:b/>
          <w:bCs/>
          <w:kern w:val="2"/>
          <w:sz w:val="32"/>
          <w:szCs w:val="32"/>
          <w:u w:val="none"/>
          <w:lang w:val="en-US" w:eastAsia="zh-CN" w:bidi="ar-SA"/>
        </w:rPr>
        <w:t>6.其他工作内容：</w:t>
      </w:r>
    </w:p>
    <w:p>
      <w:pPr>
        <w:keepNext w:val="0"/>
        <w:keepLines w:val="0"/>
        <w:pageBreakBefore w:val="0"/>
        <w:numPr>
          <w:ilvl w:val="0"/>
          <w:numId w:val="0"/>
        </w:numPr>
        <w:kinsoku/>
        <w:overflowPunct/>
        <w:topLinePunct w:val="0"/>
        <w:autoSpaceDE/>
        <w:autoSpaceDN/>
        <w:bidi w:val="0"/>
        <w:adjustRightInd/>
        <w:snapToGrid/>
        <w:spacing w:line="576" w:lineRule="exact"/>
        <w:ind w:firstLine="640" w:firstLineChars="200"/>
        <w:textAlignment w:val="auto"/>
        <w:rPr>
          <w:rFonts w:hint="eastAsia" w:ascii="仿宋_GB2312" w:hAnsi="黑体" w:eastAsia="仿宋_GB2312" w:cs="Times New Roman"/>
          <w:kern w:val="2"/>
          <w:sz w:val="32"/>
          <w:szCs w:val="32"/>
          <w:u w:val="none"/>
          <w:lang w:val="en-US" w:eastAsia="zh-CN" w:bidi="ar-SA"/>
        </w:rPr>
      </w:pPr>
      <w:r>
        <w:rPr>
          <w:rFonts w:hint="eastAsia" w:ascii="仿宋_GB2312" w:hAnsi="黑体" w:eastAsia="仿宋_GB2312" w:cs="Times New Roman"/>
          <w:kern w:val="2"/>
          <w:sz w:val="32"/>
          <w:szCs w:val="32"/>
          <w:u w:val="none"/>
          <w:lang w:val="en-US" w:eastAsia="zh-CN" w:bidi="ar-SA"/>
        </w:rPr>
        <w:t>协助委托人对承建商提交的变更申请、延期申请、支付申请等的审核，并签署监理意见；组织召开项目例会或专题会议。</w:t>
      </w:r>
    </w:p>
    <w:p>
      <w:pPr>
        <w:keepNext w:val="0"/>
        <w:keepLines w:val="0"/>
        <w:pageBreakBefore w:val="0"/>
        <w:tabs>
          <w:tab w:val="left" w:pos="1287"/>
        </w:tabs>
        <w:kinsoku/>
        <w:overflowPunct/>
        <w:topLinePunct w:val="0"/>
        <w:autoSpaceDE/>
        <w:autoSpaceDN/>
        <w:bidi w:val="0"/>
        <w:adjustRightInd/>
        <w:snapToGrid/>
        <w:spacing w:line="576" w:lineRule="exact"/>
        <w:ind w:firstLine="567"/>
        <w:textAlignment w:val="auto"/>
        <w:rPr>
          <w:rFonts w:hint="eastAsia" w:ascii="仿宋_GB2312" w:hAnsi="黑体" w:eastAsia="仿宋_GB2312" w:cs="Times New Roman"/>
          <w:kern w:val="2"/>
          <w:sz w:val="32"/>
          <w:szCs w:val="32"/>
          <w:u w:val="none"/>
          <w:lang w:val="en-US" w:eastAsia="zh-CN" w:bidi="ar-SA"/>
        </w:rPr>
      </w:pPr>
      <w:r>
        <w:rPr>
          <w:rFonts w:hint="eastAsia" w:ascii="仿宋_GB2312" w:hAnsi="黑体" w:eastAsia="仿宋_GB2312" w:cs="Times New Roman"/>
          <w:b/>
          <w:bCs/>
          <w:kern w:val="2"/>
          <w:sz w:val="32"/>
          <w:szCs w:val="32"/>
          <w:u w:val="none"/>
          <w:lang w:val="en-US" w:eastAsia="zh-CN" w:bidi="ar-SA"/>
        </w:rPr>
        <w:t>监理成果提交要求：</w:t>
      </w:r>
      <w:r>
        <w:rPr>
          <w:rFonts w:hint="eastAsia" w:ascii="仿宋_GB2312" w:hAnsi="黑体" w:eastAsia="仿宋_GB2312" w:cs="Times New Roman"/>
          <w:kern w:val="2"/>
          <w:sz w:val="32"/>
          <w:szCs w:val="32"/>
          <w:u w:val="none"/>
          <w:lang w:val="en-US" w:eastAsia="zh-CN" w:bidi="ar-SA"/>
        </w:rPr>
        <w:t>包括监理总结报告在内的监理文档集 一 套（胶装）以及电子档刻盘一套，提交时间不晚于项目移交前。</w:t>
      </w:r>
    </w:p>
    <w:p>
      <w:pPr>
        <w:pStyle w:val="9"/>
        <w:keepNext w:val="0"/>
        <w:keepLines w:val="0"/>
        <w:pageBreakBefore w:val="0"/>
        <w:numPr>
          <w:ilvl w:val="0"/>
          <w:numId w:val="1"/>
        </w:numPr>
        <w:kinsoku/>
        <w:overflowPunct/>
        <w:topLinePunct w:val="0"/>
        <w:autoSpaceDE/>
        <w:autoSpaceDN/>
        <w:bidi w:val="0"/>
        <w:adjustRightInd/>
        <w:snapToGrid/>
        <w:spacing w:line="576" w:lineRule="exact"/>
        <w:ind w:left="-13" w:leftChars="0" w:firstLine="643" w:firstLineChars="0"/>
        <w:jc w:val="both"/>
        <w:textAlignment w:val="auto"/>
        <w:rPr>
          <w:rFonts w:hint="eastAsia" w:ascii="黑体" w:hAnsi="黑体" w:eastAsia="黑体" w:cs="黑体"/>
          <w:b/>
          <w:bCs/>
          <w:i w:val="0"/>
          <w:kern w:val="2"/>
          <w:sz w:val="32"/>
          <w:szCs w:val="32"/>
          <w:u w:val="none"/>
          <w:lang w:val="en-US" w:eastAsia="zh-CN" w:bidi="ar-SA"/>
        </w:rPr>
      </w:pPr>
      <w:r>
        <w:rPr>
          <w:rFonts w:hint="eastAsia" w:ascii="黑体" w:hAnsi="黑体" w:eastAsia="黑体" w:cs="黑体"/>
          <w:b/>
          <w:bCs/>
          <w:i w:val="0"/>
          <w:kern w:val="2"/>
          <w:sz w:val="32"/>
          <w:szCs w:val="32"/>
          <w:u w:val="none"/>
          <w:lang w:val="en-US" w:eastAsia="zh-CN" w:bidi="ar-SA"/>
        </w:rPr>
        <w:t>合同履行期限</w:t>
      </w:r>
    </w:p>
    <w:p>
      <w:pPr>
        <w:pStyle w:val="9"/>
        <w:keepNext w:val="0"/>
        <w:keepLines w:val="0"/>
        <w:pageBreakBefore w:val="0"/>
        <w:numPr>
          <w:ilvl w:val="0"/>
          <w:numId w:val="0"/>
        </w:numPr>
        <w:kinsoku/>
        <w:overflowPunct/>
        <w:topLinePunct w:val="0"/>
        <w:autoSpaceDE/>
        <w:autoSpaceDN/>
        <w:bidi w:val="0"/>
        <w:adjustRightInd/>
        <w:snapToGrid/>
        <w:spacing w:line="576" w:lineRule="exact"/>
        <w:ind w:leftChars="200" w:right="864" w:rightChars="0" w:firstLine="320" w:firstLineChars="100"/>
        <w:jc w:val="both"/>
        <w:textAlignment w:val="auto"/>
        <w:rPr>
          <w:rFonts w:hint="default"/>
          <w:lang w:val="en-US" w:eastAsia="zh-CN"/>
        </w:rPr>
      </w:pPr>
      <w:r>
        <w:rPr>
          <w:rFonts w:hint="eastAsia" w:ascii="仿宋_GB2312" w:hAnsi="黑体" w:eastAsia="仿宋_GB2312" w:cs="Times New Roman"/>
          <w:b w:val="0"/>
          <w:bCs w:val="0"/>
          <w:i w:val="0"/>
          <w:kern w:val="2"/>
          <w:sz w:val="32"/>
          <w:szCs w:val="32"/>
          <w:u w:val="none"/>
          <w:lang w:val="en-US" w:eastAsia="zh-CN" w:bidi="ar-SA"/>
        </w:rPr>
        <w:t>开工至项目竣工验收结束。</w:t>
      </w:r>
    </w:p>
    <w:p>
      <w:pPr>
        <w:keepNext w:val="0"/>
        <w:keepLines w:val="0"/>
        <w:pageBreakBefore w:val="0"/>
        <w:numPr>
          <w:ilvl w:val="0"/>
          <w:numId w:val="1"/>
        </w:numPr>
        <w:kinsoku/>
        <w:overflowPunct/>
        <w:topLinePunct w:val="0"/>
        <w:autoSpaceDE/>
        <w:autoSpaceDN/>
        <w:bidi w:val="0"/>
        <w:adjustRightInd/>
        <w:snapToGrid/>
        <w:spacing w:line="576" w:lineRule="exact"/>
        <w:ind w:left="-13" w:leftChars="0" w:firstLine="640" w:firstLineChars="0"/>
        <w:jc w:val="left"/>
        <w:textAlignment w:val="auto"/>
        <w:rPr>
          <w:rFonts w:hint="eastAsia" w:ascii="黑体" w:hAnsi="黑体" w:eastAsia="黑体" w:cs="黑体"/>
          <w:b w:val="0"/>
          <w:bCs w:val="0"/>
          <w:i w:val="0"/>
          <w:kern w:val="2"/>
          <w:sz w:val="32"/>
          <w:szCs w:val="32"/>
          <w:u w:val="none"/>
          <w:lang w:val="en-US" w:eastAsia="zh-CN" w:bidi="ar-SA"/>
        </w:rPr>
      </w:pPr>
      <w:r>
        <w:rPr>
          <w:rFonts w:hint="eastAsia" w:ascii="黑体" w:hAnsi="黑体" w:eastAsia="黑体" w:cs="黑体"/>
          <w:b w:val="0"/>
          <w:bCs w:val="0"/>
          <w:i w:val="0"/>
          <w:kern w:val="2"/>
          <w:sz w:val="32"/>
          <w:szCs w:val="32"/>
          <w:u w:val="none"/>
          <w:lang w:val="en-US" w:eastAsia="zh-CN" w:bidi="ar-SA"/>
        </w:rPr>
        <w:t>项目主要设备及内容</w:t>
      </w:r>
    </w:p>
    <w:p>
      <w:pPr>
        <w:keepNext w:val="0"/>
        <w:keepLines w:val="0"/>
        <w:pageBreakBefore w:val="0"/>
        <w:numPr>
          <w:ilvl w:val="0"/>
          <w:numId w:val="0"/>
        </w:numPr>
        <w:kinsoku/>
        <w:overflowPunct/>
        <w:topLinePunct w:val="0"/>
        <w:autoSpaceDE/>
        <w:autoSpaceDN/>
        <w:bidi w:val="0"/>
        <w:adjustRightInd/>
        <w:snapToGrid/>
        <w:spacing w:line="576" w:lineRule="exact"/>
        <w:ind w:leftChars="200" w:firstLine="320" w:firstLineChars="100"/>
        <w:jc w:val="left"/>
        <w:textAlignment w:val="auto"/>
        <w:rPr>
          <w:rFonts w:hint="eastAsia" w:ascii="仿宋_GB2312" w:hAnsi="黑体" w:eastAsia="仿宋_GB2312" w:cs="Times New Roman"/>
          <w:b w:val="0"/>
          <w:bCs w:val="0"/>
          <w:i w:val="0"/>
          <w:kern w:val="2"/>
          <w:sz w:val="32"/>
          <w:szCs w:val="32"/>
          <w:u w:val="none"/>
          <w:lang w:val="en-US" w:eastAsia="zh-CN" w:bidi="ar-SA"/>
        </w:rPr>
      </w:pPr>
      <w:r>
        <w:rPr>
          <w:rFonts w:hint="eastAsia" w:ascii="仿宋_GB2312" w:hAnsi="黑体" w:eastAsia="仿宋_GB2312" w:cs="Times New Roman"/>
          <w:b w:val="0"/>
          <w:bCs w:val="0"/>
          <w:i w:val="0"/>
          <w:kern w:val="2"/>
          <w:sz w:val="32"/>
          <w:szCs w:val="32"/>
          <w:u w:val="none"/>
          <w:lang w:val="en-US" w:eastAsia="zh-CN" w:bidi="ar-SA"/>
        </w:rPr>
        <w:t>（详见招标文件）</w:t>
      </w:r>
    </w:p>
    <w:p>
      <w:pPr>
        <w:keepNext w:val="0"/>
        <w:keepLines w:val="0"/>
        <w:pageBreakBefore w:val="0"/>
        <w:numPr>
          <w:ilvl w:val="0"/>
          <w:numId w:val="1"/>
        </w:numPr>
        <w:kinsoku/>
        <w:overflowPunct/>
        <w:topLinePunct w:val="0"/>
        <w:autoSpaceDE/>
        <w:autoSpaceDN/>
        <w:bidi w:val="0"/>
        <w:adjustRightInd/>
        <w:snapToGrid/>
        <w:spacing w:line="576" w:lineRule="exact"/>
        <w:ind w:left="-13" w:leftChars="0" w:firstLine="640" w:firstLineChars="0"/>
        <w:jc w:val="left"/>
        <w:textAlignment w:val="auto"/>
        <w:rPr>
          <w:rFonts w:hint="eastAsia" w:ascii="黑体" w:hAnsi="黑体" w:eastAsia="黑体" w:cs="黑体"/>
          <w:b w:val="0"/>
          <w:bCs w:val="0"/>
          <w:i w:val="0"/>
          <w:kern w:val="2"/>
          <w:sz w:val="32"/>
          <w:szCs w:val="32"/>
          <w:u w:val="none"/>
          <w:lang w:val="en-US" w:eastAsia="zh-CN" w:bidi="ar-SA"/>
        </w:rPr>
      </w:pPr>
      <w:r>
        <w:rPr>
          <w:rFonts w:hint="eastAsia" w:ascii="黑体" w:hAnsi="黑体" w:eastAsia="黑体" w:cs="黑体"/>
          <w:b w:val="0"/>
          <w:bCs w:val="0"/>
          <w:i w:val="0"/>
          <w:kern w:val="2"/>
          <w:sz w:val="32"/>
          <w:szCs w:val="32"/>
          <w:u w:val="none"/>
          <w:lang w:val="en-US" w:eastAsia="zh-CN" w:bidi="ar-SA"/>
        </w:rPr>
        <w:t>资金支付</w:t>
      </w:r>
    </w:p>
    <w:p>
      <w:pPr>
        <w:pStyle w:val="2"/>
        <w:keepNext w:val="0"/>
        <w:keepLines w:val="0"/>
        <w:pageBreakBefore w:val="0"/>
        <w:numPr>
          <w:ilvl w:val="0"/>
          <w:numId w:val="0"/>
        </w:numPr>
        <w:kinsoku/>
        <w:overflowPunct/>
        <w:topLinePunct w:val="0"/>
        <w:autoSpaceDE/>
        <w:autoSpaceDN/>
        <w:bidi w:val="0"/>
        <w:adjustRightInd/>
        <w:snapToGrid/>
        <w:spacing w:line="576" w:lineRule="exact"/>
        <w:ind w:left="320" w:leftChars="0"/>
        <w:textAlignment w:val="auto"/>
        <w:rPr>
          <w:rFonts w:hint="eastAsia" w:ascii="仿宋_GB2312" w:hAnsi="黑体" w:eastAsia="仿宋_GB2312" w:cs="Times New Roman"/>
          <w:b w:val="0"/>
          <w:bCs w:val="0"/>
          <w:i w:val="0"/>
          <w:kern w:val="2"/>
          <w:sz w:val="32"/>
          <w:szCs w:val="32"/>
          <w:u w:val="none"/>
          <w:lang w:val="en-US" w:eastAsia="zh-CN" w:bidi="ar-SA"/>
        </w:rPr>
      </w:pPr>
      <w:r>
        <w:rPr>
          <w:rFonts w:hint="eastAsia" w:ascii="仿宋_GB2312" w:hAnsi="黑体" w:eastAsia="仿宋_GB2312" w:cs="Times New Roman"/>
          <w:b w:val="0"/>
          <w:bCs w:val="0"/>
          <w:i w:val="0"/>
          <w:kern w:val="2"/>
          <w:sz w:val="32"/>
          <w:szCs w:val="32"/>
          <w:u w:val="none"/>
          <w:lang w:val="en-US" w:eastAsia="zh-CN" w:bidi="ar-SA"/>
        </w:rPr>
        <w:t>1.监理服务费预算：2.5万元</w:t>
      </w:r>
    </w:p>
    <w:p>
      <w:pPr>
        <w:pStyle w:val="2"/>
        <w:keepNext w:val="0"/>
        <w:keepLines w:val="0"/>
        <w:pageBreakBefore w:val="0"/>
        <w:kinsoku/>
        <w:overflowPunct/>
        <w:topLinePunct w:val="0"/>
        <w:autoSpaceDE/>
        <w:autoSpaceDN/>
        <w:bidi w:val="0"/>
        <w:adjustRightInd/>
        <w:snapToGrid/>
        <w:spacing w:line="576" w:lineRule="exact"/>
        <w:textAlignment w:val="auto"/>
        <w:rPr>
          <w:rFonts w:hint="default" w:ascii="仿宋_GB2312" w:hAnsi="黑体" w:eastAsia="仿宋_GB2312" w:cs="Times New Roman"/>
          <w:b w:val="0"/>
          <w:bCs w:val="0"/>
          <w:i w:val="0"/>
          <w:kern w:val="2"/>
          <w:sz w:val="32"/>
          <w:szCs w:val="32"/>
          <w:u w:val="none"/>
          <w:lang w:val="en-US" w:eastAsia="zh-CN" w:bidi="ar-SA"/>
        </w:rPr>
      </w:pPr>
      <w:r>
        <w:rPr>
          <w:rFonts w:hint="eastAsia" w:ascii="仿宋_GB2312" w:hAnsi="黑体" w:eastAsia="仿宋_GB2312" w:cs="Times New Roman"/>
          <w:b w:val="0"/>
          <w:bCs w:val="0"/>
          <w:i w:val="0"/>
          <w:kern w:val="2"/>
          <w:sz w:val="32"/>
          <w:szCs w:val="32"/>
          <w:u w:val="none"/>
          <w:lang w:val="en-US" w:eastAsia="zh-CN" w:bidi="ar-SA"/>
        </w:rPr>
        <w:t xml:space="preserve">  2.监理服务费支付方式及时间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仿宋_GB2312" w:hAnsi="黑体" w:eastAsia="仿宋_GB2312" w:cs="Times New Roman"/>
          <w:b w:val="0"/>
          <w:bCs w:val="0"/>
          <w:i w:val="0"/>
          <w:kern w:val="2"/>
          <w:sz w:val="32"/>
          <w:szCs w:val="32"/>
          <w:u w:val="none"/>
          <w:lang w:val="en-US" w:eastAsia="zh-CN" w:bidi="ar-SA"/>
        </w:rPr>
      </w:pPr>
      <w:r>
        <w:rPr>
          <w:rFonts w:hint="eastAsia" w:ascii="仿宋_GB2312" w:hAnsi="黑体" w:eastAsia="仿宋_GB2312" w:cs="Times New Roman"/>
          <w:b w:val="0"/>
          <w:bCs w:val="0"/>
          <w:i w:val="0"/>
          <w:kern w:val="2"/>
          <w:sz w:val="32"/>
          <w:szCs w:val="32"/>
          <w:u w:val="none"/>
          <w:lang w:val="en-US" w:eastAsia="zh-CN" w:bidi="ar-SA"/>
        </w:rPr>
        <w:t>第一笔:双方签订合同生效，签发开工令且承建单位入场施工后乙方开具相应金额的发票，达到付款条件起20个工作日内，甲方向乙方支付合同总价的 50%。</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黑体" w:eastAsia="仿宋_GB2312" w:cs="Times New Roman"/>
          <w:b w:val="0"/>
          <w:bCs w:val="0"/>
          <w:i w:val="0"/>
          <w:kern w:val="2"/>
          <w:sz w:val="32"/>
          <w:szCs w:val="32"/>
          <w:u w:val="none"/>
          <w:lang w:val="en-US" w:eastAsia="zh-CN" w:bidi="ar-SA"/>
        </w:rPr>
      </w:pPr>
      <w:r>
        <w:rPr>
          <w:rFonts w:hint="eastAsia" w:ascii="仿宋_GB2312" w:hAnsi="黑体" w:eastAsia="仿宋_GB2312" w:cs="Times New Roman"/>
          <w:b w:val="0"/>
          <w:bCs w:val="0"/>
          <w:i w:val="0"/>
          <w:kern w:val="2"/>
          <w:sz w:val="32"/>
          <w:szCs w:val="32"/>
          <w:u w:val="none"/>
          <w:lang w:val="en-US" w:eastAsia="zh-CN" w:bidi="ar-SA"/>
        </w:rPr>
        <w:t>第二笔自竣工验收合格后，乙方提供相应金额的发票，达到付款条件起15个工作日内支付合同总价的 50%。</w:t>
      </w:r>
    </w:p>
    <w:p>
      <w:pPr>
        <w:pStyle w:val="2"/>
        <w:rPr>
          <w:rFonts w:hint="eastAsia" w:ascii="仿宋_GB2312" w:hAnsi="黑体" w:eastAsia="仿宋_GB2312" w:cs="Times New Roman"/>
          <w:b w:val="0"/>
          <w:bCs w:val="0"/>
          <w:i w:val="0"/>
          <w:kern w:val="2"/>
          <w:sz w:val="32"/>
          <w:szCs w:val="32"/>
          <w:u w:val="none"/>
          <w:lang w:val="en-US" w:eastAsia="zh-CN" w:bidi="ar-SA"/>
        </w:rPr>
      </w:pPr>
    </w:p>
    <w:p>
      <w:pPr>
        <w:ind w:firstLine="320" w:firstLineChars="100"/>
        <w:rPr>
          <w:rFonts w:hint="eastAsia"/>
          <w:lang w:val="en-US" w:eastAsia="zh-CN"/>
        </w:rPr>
      </w:pPr>
      <w:r>
        <w:rPr>
          <w:rFonts w:hint="eastAsia" w:ascii="黑体" w:hAnsi="黑体" w:eastAsia="黑体" w:cs="黑体"/>
          <w:sz w:val="32"/>
          <w:szCs w:val="32"/>
          <w:lang w:val="en-US" w:eastAsia="zh-CN"/>
        </w:rPr>
        <w:t>六、保密要求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黑体" w:eastAsia="仿宋_GB2312" w:cs="Times New Roman"/>
          <w:b w:val="0"/>
          <w:bCs w:val="0"/>
          <w:i w:val="0"/>
          <w:kern w:val="2"/>
          <w:sz w:val="32"/>
          <w:szCs w:val="32"/>
          <w:u w:val="none"/>
          <w:lang w:val="en-US" w:eastAsia="zh-CN" w:bidi="ar-SA"/>
        </w:rPr>
      </w:pPr>
      <w:r>
        <w:rPr>
          <w:rFonts w:hint="eastAsia" w:ascii="仿宋_GB2312" w:hAnsi="黑体" w:eastAsia="仿宋_GB2312" w:cs="Times New Roman"/>
          <w:b w:val="0"/>
          <w:bCs w:val="0"/>
          <w:i w:val="0"/>
          <w:kern w:val="2"/>
          <w:sz w:val="32"/>
          <w:szCs w:val="32"/>
          <w:u w:val="none"/>
          <w:lang w:val="en-US" w:eastAsia="zh-CN" w:bidi="ar-SA"/>
        </w:rPr>
        <w:t>监理方必须遵守甲方有关保密要求，并签订保密协议，对监理单位工作人员开展保密教育。应承担保密义务的秘密信息范围包括：</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黑体" w:eastAsia="仿宋_GB2312" w:cs="Times New Roman"/>
          <w:b w:val="0"/>
          <w:bCs w:val="0"/>
          <w:i w:val="0"/>
          <w:kern w:val="2"/>
          <w:sz w:val="32"/>
          <w:szCs w:val="32"/>
          <w:u w:val="none"/>
          <w:lang w:val="en-US" w:eastAsia="zh-CN" w:bidi="ar-SA"/>
        </w:rPr>
      </w:pPr>
      <w:r>
        <w:rPr>
          <w:rFonts w:hint="eastAsia" w:ascii="仿宋_GB2312" w:hAnsi="黑体" w:eastAsia="仿宋_GB2312" w:cs="Times New Roman"/>
          <w:b w:val="0"/>
          <w:bCs w:val="0"/>
          <w:i w:val="0"/>
          <w:kern w:val="2"/>
          <w:sz w:val="32"/>
          <w:szCs w:val="32"/>
          <w:u w:val="none"/>
          <w:lang w:val="en-US" w:eastAsia="zh-CN" w:bidi="ar-SA"/>
        </w:rPr>
        <w:t>技术信息：包括项目预算、总体规划、设计方案、系统构架、运行平台、功能需求、技术指标、相关协议、业务流程、服务内容、实现方法、测试结果、图纸、样本、模型、使用手册、技术文档、涉及技术秘密的业务函电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黑体" w:eastAsia="仿宋_GB2312" w:cs="Times New Roman"/>
          <w:b w:val="0"/>
          <w:bCs w:val="0"/>
          <w:i w:val="0"/>
          <w:kern w:val="2"/>
          <w:sz w:val="32"/>
          <w:szCs w:val="32"/>
          <w:u w:val="none"/>
          <w:lang w:val="en-US" w:eastAsia="zh-CN" w:bidi="ar-SA"/>
        </w:rPr>
      </w:pPr>
      <w:r>
        <w:rPr>
          <w:rFonts w:hint="eastAsia" w:ascii="仿宋_GB2312" w:hAnsi="黑体" w:eastAsia="仿宋_GB2312" w:cs="Times New Roman"/>
          <w:b w:val="0"/>
          <w:bCs w:val="0"/>
          <w:i w:val="0"/>
          <w:kern w:val="2"/>
          <w:sz w:val="32"/>
          <w:szCs w:val="32"/>
          <w:u w:val="none"/>
          <w:lang w:val="en-US" w:eastAsia="zh-CN" w:bidi="ar-SA"/>
        </w:rPr>
        <w:t>管理信息：包括甲方相关人员的姓名、地址及联系方式、地理位置、方位布局、行政建制等内部管理信息、采购资料、进货渠道、招投标中的标底及标书内容、项目组人员构成、费用预算及其他财务资料等。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黑体" w:eastAsia="仿宋_GB2312" w:cs="Times New Roman"/>
          <w:b w:val="0"/>
          <w:bCs w:val="0"/>
          <w:i w:val="0"/>
          <w:kern w:val="2"/>
          <w:sz w:val="32"/>
          <w:szCs w:val="32"/>
          <w:u w:val="none"/>
          <w:lang w:val="en-US" w:eastAsia="zh-CN" w:bidi="ar-SA"/>
        </w:rPr>
      </w:pPr>
      <w:r>
        <w:rPr>
          <w:rFonts w:hint="eastAsia" w:ascii="仿宋_GB2312" w:hAnsi="黑体" w:eastAsia="仿宋_GB2312" w:cs="Times New Roman"/>
          <w:b w:val="0"/>
          <w:bCs w:val="0"/>
          <w:i w:val="0"/>
          <w:kern w:val="2"/>
          <w:sz w:val="32"/>
          <w:szCs w:val="32"/>
          <w:u w:val="none"/>
          <w:lang w:val="en-US" w:eastAsia="zh-CN" w:bidi="ar-SA"/>
        </w:rPr>
        <w:t>其他事项：甲方依照法律规定（如通过与项目对方当事人缔约）和有关合同、协议的约定要求乙方承担保密义务的其他事项，以及国家、行业及甲方上级主管部门要求保密的其他内容等。不允许（包括出借、赠与、出租、转让等行为）或协助不承担同等保密义务的任何第三人使用甲方关于该项目的秘密。</w:t>
      </w:r>
    </w:p>
    <w:p>
      <w:pPr>
        <w:ind w:firstLine="320" w:firstLineChars="1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七、其他服务要求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仿宋_GB2312" w:hAnsi="黑体" w:eastAsia="仿宋_GB2312" w:cs="Times New Roman"/>
          <w:b w:val="0"/>
          <w:bCs w:val="0"/>
          <w:i w:val="0"/>
          <w:kern w:val="2"/>
          <w:sz w:val="32"/>
          <w:szCs w:val="32"/>
          <w:u w:val="none"/>
          <w:lang w:val="en-US" w:eastAsia="zh-CN" w:bidi="ar-SA"/>
        </w:rPr>
      </w:pPr>
      <w:r>
        <w:rPr>
          <w:rFonts w:hint="eastAsia" w:ascii="仿宋_GB2312" w:hAnsi="黑体" w:eastAsia="仿宋_GB2312" w:cs="Times New Roman"/>
          <w:b w:val="0"/>
          <w:bCs w:val="0"/>
          <w:i w:val="0"/>
          <w:kern w:val="2"/>
          <w:sz w:val="32"/>
          <w:szCs w:val="32"/>
          <w:u w:val="none"/>
          <w:lang w:val="en-US" w:eastAsia="zh-CN" w:bidi="ar-SA"/>
        </w:rPr>
        <w:t>1.在教室环境改造优化及隐蔽工程施工期间，监理单位应派专业监理工程师驻场，对施工质量及进度进行监理。</w:t>
      </w:r>
    </w:p>
    <w:p>
      <w:pPr>
        <w:pStyle w:val="2"/>
        <w:keepNext w:val="0"/>
        <w:keepLines w:val="0"/>
        <w:pageBreakBefore w:val="0"/>
        <w:kinsoku/>
        <w:overflowPunct/>
        <w:topLinePunct w:val="0"/>
        <w:autoSpaceDE/>
        <w:autoSpaceDN/>
        <w:bidi w:val="0"/>
        <w:adjustRightInd/>
        <w:snapToGrid/>
        <w:spacing w:line="576" w:lineRule="exact"/>
        <w:ind w:firstLine="640" w:firstLineChars="200"/>
        <w:textAlignment w:val="auto"/>
        <w:rPr>
          <w:rFonts w:hint="eastAsia" w:ascii="仿宋_GB2312" w:hAnsi="黑体" w:eastAsia="仿宋_GB2312" w:cs="Times New Roman"/>
          <w:b w:val="0"/>
          <w:bCs w:val="0"/>
          <w:i w:val="0"/>
          <w:kern w:val="2"/>
          <w:sz w:val="32"/>
          <w:szCs w:val="32"/>
          <w:u w:val="none"/>
          <w:lang w:val="en-US" w:eastAsia="zh-CN" w:bidi="ar-SA"/>
        </w:rPr>
      </w:pPr>
      <w:r>
        <w:rPr>
          <w:rFonts w:hint="eastAsia" w:ascii="仿宋_GB2312" w:hAnsi="黑体" w:eastAsia="仿宋_GB2312" w:cs="Times New Roman"/>
          <w:b w:val="0"/>
          <w:bCs w:val="0"/>
          <w:i w:val="0"/>
          <w:kern w:val="2"/>
          <w:sz w:val="32"/>
          <w:szCs w:val="32"/>
          <w:u w:val="none"/>
          <w:lang w:val="en-US" w:eastAsia="zh-CN" w:bidi="ar-SA"/>
        </w:rPr>
        <w:t>2.对项目应配备</w:t>
      </w:r>
      <w:r>
        <w:rPr>
          <w:rFonts w:hint="eastAsia" w:ascii="仿宋_GB2312" w:hAnsi="黑体" w:eastAsia="仿宋_GB2312" w:cs="Times New Roman"/>
          <w:b/>
          <w:bCs/>
          <w:i w:val="0"/>
          <w:kern w:val="2"/>
          <w:sz w:val="32"/>
          <w:szCs w:val="32"/>
          <w:u w:val="none"/>
          <w:lang w:val="en-US" w:eastAsia="zh-CN" w:bidi="ar-SA"/>
        </w:rPr>
        <w:t>一名专业监理工程师</w:t>
      </w:r>
      <w:r>
        <w:rPr>
          <w:rFonts w:hint="eastAsia" w:ascii="仿宋_GB2312" w:hAnsi="黑体" w:eastAsia="仿宋_GB2312" w:cs="Times New Roman"/>
          <w:b w:val="0"/>
          <w:bCs w:val="0"/>
          <w:i w:val="0"/>
          <w:kern w:val="2"/>
          <w:sz w:val="32"/>
          <w:szCs w:val="32"/>
          <w:u w:val="none"/>
          <w:lang w:val="en-US" w:eastAsia="zh-CN" w:bidi="ar-SA"/>
        </w:rPr>
        <w:t>及</w:t>
      </w:r>
      <w:r>
        <w:rPr>
          <w:rFonts w:hint="eastAsia" w:ascii="仿宋_GB2312" w:hAnsi="黑体" w:eastAsia="仿宋_GB2312" w:cs="Times New Roman"/>
          <w:b/>
          <w:bCs/>
          <w:i w:val="0"/>
          <w:kern w:val="2"/>
          <w:sz w:val="32"/>
          <w:szCs w:val="32"/>
          <w:u w:val="none"/>
          <w:lang w:val="en-US" w:eastAsia="zh-CN" w:bidi="ar-SA"/>
        </w:rPr>
        <w:t>总监理工程师</w:t>
      </w:r>
      <w:r>
        <w:rPr>
          <w:rFonts w:hint="eastAsia" w:ascii="仿宋_GB2312" w:hAnsi="黑体" w:eastAsia="仿宋_GB2312" w:cs="Times New Roman"/>
          <w:b w:val="0"/>
          <w:bCs w:val="0"/>
          <w:i w:val="0"/>
          <w:kern w:val="2"/>
          <w:sz w:val="32"/>
          <w:szCs w:val="32"/>
          <w:u w:val="none"/>
          <w:lang w:val="en-US" w:eastAsia="zh-CN" w:bidi="ar-SA"/>
        </w:rPr>
        <w:t>负责本项目。</w:t>
      </w:r>
    </w:p>
    <w:p>
      <w:pPr>
        <w:ind w:firstLine="320" w:firstLineChars="100"/>
        <w:rPr>
          <w:rFonts w:hint="eastAsia"/>
          <w:lang w:val="en-US" w:eastAsia="zh-CN"/>
        </w:rPr>
      </w:pPr>
      <w:r>
        <w:rPr>
          <w:rFonts w:hint="eastAsia" w:ascii="黑体" w:hAnsi="黑体" w:eastAsia="黑体" w:cs="黑体"/>
          <w:sz w:val="32"/>
          <w:szCs w:val="32"/>
          <w:lang w:val="en-US" w:eastAsia="zh-CN"/>
        </w:rPr>
        <w:t xml:space="preserve"> 八、监理资质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黑体" w:eastAsia="仿宋_GB2312" w:cs="Times New Roman"/>
          <w:i w:val="0"/>
          <w:kern w:val="2"/>
          <w:sz w:val="32"/>
          <w:szCs w:val="32"/>
          <w:u w:val="none"/>
          <w:lang w:val="en-US" w:eastAsia="zh-CN" w:bidi="ar-SA"/>
        </w:rPr>
      </w:pPr>
      <w:r>
        <w:rPr>
          <w:rFonts w:hint="eastAsia" w:ascii="仿宋_GB2312" w:hAnsi="黑体" w:eastAsia="仿宋_GB2312" w:cs="Times New Roman"/>
          <w:i w:val="0"/>
          <w:kern w:val="2"/>
          <w:sz w:val="32"/>
          <w:szCs w:val="32"/>
          <w:u w:val="none"/>
          <w:lang w:val="en-US" w:eastAsia="zh-CN" w:bidi="ar-SA"/>
        </w:rPr>
        <w:t>本项目涉及设备安装、线路改造、信号传输、管理软</w:t>
      </w:r>
      <w:bookmarkStart w:id="0" w:name="_GoBack"/>
      <w:bookmarkEnd w:id="0"/>
      <w:r>
        <w:rPr>
          <w:rFonts w:hint="eastAsia" w:ascii="仿宋_GB2312" w:hAnsi="黑体" w:eastAsia="仿宋_GB2312" w:cs="Times New Roman"/>
          <w:i w:val="0"/>
          <w:kern w:val="2"/>
          <w:sz w:val="32"/>
          <w:szCs w:val="32"/>
          <w:u w:val="none"/>
          <w:lang w:val="en-US" w:eastAsia="zh-CN" w:bidi="ar-SA"/>
        </w:rPr>
        <w:t>件定制等服务，供应商应具备监理综合资质甲级、或具备机电安装工程监理乙级及以上资质</w:t>
      </w:r>
      <w:r>
        <w:rPr>
          <w:rFonts w:hint="eastAsia" w:ascii="仿宋_GB2312" w:hAnsi="黑体" w:eastAsia="仿宋_GB2312" w:cs="Times New Roman"/>
          <w:b w:val="0"/>
          <w:bCs w:val="0"/>
          <w:i w:val="0"/>
          <w:kern w:val="2"/>
          <w:sz w:val="32"/>
          <w:szCs w:val="32"/>
          <w:u w:val="none"/>
          <w:lang w:val="en-US" w:eastAsia="zh-CN" w:bidi="ar-SA"/>
        </w:rPr>
        <w:t>（含乙级）</w:t>
      </w:r>
      <w:r>
        <w:rPr>
          <w:rFonts w:hint="eastAsia" w:ascii="仿宋_GB2312" w:hAnsi="黑体" w:eastAsia="仿宋_GB2312" w:cs="Times New Roman"/>
          <w:i w:val="0"/>
          <w:kern w:val="2"/>
          <w:sz w:val="32"/>
          <w:szCs w:val="32"/>
          <w:u w:val="none"/>
          <w:lang w:val="en-US" w:eastAsia="zh-CN" w:bidi="ar-SA"/>
        </w:rPr>
        <w:t>、</w:t>
      </w:r>
      <w:r>
        <w:rPr>
          <w:rFonts w:hint="eastAsia" w:ascii="仿宋_GB2312" w:hAnsi="黑体" w:eastAsia="仿宋_GB2312" w:cs="Times New Roman"/>
          <w:b w:val="0"/>
          <w:bCs w:val="0"/>
          <w:i w:val="0"/>
          <w:kern w:val="2"/>
          <w:sz w:val="32"/>
          <w:szCs w:val="32"/>
          <w:u w:val="none"/>
          <w:lang w:val="en-US" w:eastAsia="zh-CN" w:bidi="ar-SA"/>
        </w:rPr>
        <w:t>信息系统工程监理资质乙级以上（含乙级）</w:t>
      </w:r>
      <w:r>
        <w:rPr>
          <w:rFonts w:hint="eastAsia" w:ascii="仿宋_GB2312" w:hAnsi="黑体" w:eastAsia="仿宋_GB2312" w:cs="Times New Roman"/>
          <w:i w:val="0"/>
          <w:kern w:val="2"/>
          <w:sz w:val="32"/>
          <w:szCs w:val="32"/>
          <w:u w:val="none"/>
          <w:lang w:val="en-US" w:eastAsia="zh-CN" w:bidi="ar-SA"/>
        </w:rPr>
        <w:t>。</w:t>
      </w:r>
    </w:p>
    <w:p>
      <w:pPr>
        <w:pStyle w:val="2"/>
        <w:rPr>
          <w:rFonts w:hint="default"/>
          <w:lang w:val="en-US" w:eastAsia="zh-CN"/>
        </w:rPr>
      </w:pPr>
      <w:r>
        <w:rPr>
          <w:rFonts w:hint="eastAsia" w:ascii="仿宋_GB2312" w:hAnsi="黑体" w:eastAsia="仿宋_GB2312" w:cs="Times New Roman"/>
          <w:i w:val="0"/>
          <w:kern w:val="2"/>
          <w:sz w:val="32"/>
          <w:szCs w:val="32"/>
          <w:u w:val="none"/>
          <w:lang w:val="en-US" w:eastAsia="zh-CN" w:bidi="ar-SA"/>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仿宋_GB2312" w:hAnsi="黑体" w:eastAsia="仿宋_GB2312" w:cs="Times New Roman"/>
          <w:b w:val="0"/>
          <w:bCs w:val="0"/>
          <w:i w:val="0"/>
          <w:kern w:val="2"/>
          <w:sz w:val="32"/>
          <w:szCs w:val="32"/>
          <w:u w:val="none"/>
          <w:lang w:val="en-US" w:eastAsia="zh-CN" w:bidi="ar-SA"/>
        </w:rPr>
      </w:pPr>
    </w:p>
    <w:p>
      <w:pPr>
        <w:pStyle w:val="2"/>
        <w:rPr>
          <w:rFonts w:hint="default" w:ascii="仿宋_GB2312" w:hAnsi="黑体" w:eastAsia="仿宋_GB2312" w:cs="Times New Roman"/>
          <w:b w:val="0"/>
          <w:bCs w:val="0"/>
          <w:i w:val="0"/>
          <w:kern w:val="2"/>
          <w:sz w:val="32"/>
          <w:szCs w:val="32"/>
          <w:u w:val="none"/>
          <w:lang w:val="en-US" w:eastAsia="zh-CN" w:bidi="ar-SA"/>
        </w:rPr>
      </w:pPr>
    </w:p>
    <w:p>
      <w:pPr>
        <w:rPr>
          <w:rFonts w:hint="default" w:ascii="仿宋_GB2312" w:hAnsi="黑体" w:eastAsia="仿宋_GB2312" w:cs="Times New Roman"/>
          <w:b w:val="0"/>
          <w:bCs w:val="0"/>
          <w:i w:val="0"/>
          <w:kern w:val="2"/>
          <w:sz w:val="32"/>
          <w:szCs w:val="32"/>
          <w:u w:val="none"/>
          <w:lang w:val="en-US" w:eastAsia="zh-CN" w:bidi="ar-SA"/>
        </w:rPr>
      </w:pPr>
    </w:p>
    <w:p>
      <w:pPr>
        <w:rPr>
          <w:rFonts w:hint="eastAsia" w:ascii="仿宋_GB2312" w:hAnsi="黑体" w:eastAsia="仿宋_GB2312" w:cs="Times New Roman"/>
          <w:b w:val="0"/>
          <w:bCs w:val="0"/>
          <w:i w:val="0"/>
          <w:kern w:val="2"/>
          <w:sz w:val="32"/>
          <w:szCs w:val="32"/>
          <w:u w:val="none"/>
          <w:lang w:val="en-US" w:eastAsia="zh-CN" w:bidi="ar-SA"/>
        </w:rPr>
      </w:pPr>
    </w:p>
    <w:p>
      <w:pPr>
        <w:pStyle w:val="2"/>
        <w:rPr>
          <w:rFonts w:hint="eastAsia" w:ascii="仿宋_GB2312" w:hAnsi="黑体" w:eastAsia="仿宋_GB2312" w:cs="Times New Roman"/>
          <w:b w:val="0"/>
          <w:bCs w:val="0"/>
          <w:i w:val="0"/>
          <w:kern w:val="2"/>
          <w:sz w:val="32"/>
          <w:szCs w:val="32"/>
          <w:u w:val="none"/>
          <w:lang w:val="en-US" w:eastAsia="zh-CN" w:bidi="ar-SA"/>
        </w:rPr>
      </w:pPr>
    </w:p>
    <w:p>
      <w:pPr>
        <w:rPr>
          <w:rFonts w:hint="eastAsia" w:ascii="仿宋_GB2312" w:hAnsi="黑体" w:eastAsia="仿宋_GB2312" w:cs="Times New Roman"/>
          <w:b w:val="0"/>
          <w:bCs w:val="0"/>
          <w:i w:val="0"/>
          <w:kern w:val="2"/>
          <w:sz w:val="32"/>
          <w:szCs w:val="32"/>
          <w:u w:val="none"/>
          <w:lang w:val="en-US" w:eastAsia="zh-CN" w:bidi="ar-SA"/>
        </w:rPr>
      </w:pPr>
    </w:p>
    <w:p>
      <w:pPr>
        <w:pStyle w:val="2"/>
        <w:rPr>
          <w:rFonts w:hint="eastAsia" w:ascii="仿宋_GB2312" w:hAnsi="黑体" w:eastAsia="仿宋_GB2312" w:cs="Times New Roman"/>
          <w:b w:val="0"/>
          <w:bCs w:val="0"/>
          <w:i w:val="0"/>
          <w:kern w:val="2"/>
          <w:sz w:val="32"/>
          <w:szCs w:val="32"/>
          <w:u w:val="none"/>
          <w:lang w:val="en-US" w:eastAsia="zh-CN" w:bidi="ar-SA"/>
        </w:rPr>
      </w:pPr>
    </w:p>
    <w:p>
      <w:pPr>
        <w:rPr>
          <w:rFonts w:hint="eastAsia" w:ascii="仿宋_GB2312" w:hAnsi="黑体" w:eastAsia="仿宋_GB2312" w:cs="Times New Roman"/>
          <w:b w:val="0"/>
          <w:bCs w:val="0"/>
          <w:i w:val="0"/>
          <w:kern w:val="2"/>
          <w:sz w:val="32"/>
          <w:szCs w:val="32"/>
          <w:u w:val="none"/>
          <w:lang w:val="en-US" w:eastAsia="zh-CN" w:bidi="ar-SA"/>
        </w:rPr>
      </w:pPr>
    </w:p>
    <w:p>
      <w:pPr>
        <w:pStyle w:val="2"/>
        <w:rPr>
          <w:rFonts w:hint="eastAsia" w:ascii="仿宋_GB2312" w:hAnsi="黑体" w:eastAsia="仿宋_GB2312" w:cs="Times New Roman"/>
          <w:b w:val="0"/>
          <w:bCs w:val="0"/>
          <w:i w:val="0"/>
          <w:kern w:val="2"/>
          <w:sz w:val="32"/>
          <w:szCs w:val="32"/>
          <w:u w:val="none"/>
          <w:lang w:val="en-US" w:eastAsia="zh-CN" w:bidi="ar-SA"/>
        </w:rPr>
      </w:pPr>
    </w:p>
    <w:p>
      <w:pPr>
        <w:rPr>
          <w:rFonts w:hint="eastAsia" w:ascii="仿宋_GB2312" w:hAnsi="黑体" w:eastAsia="仿宋_GB2312" w:cs="Times New Roman"/>
          <w:b w:val="0"/>
          <w:bCs w:val="0"/>
          <w:i w:val="0"/>
          <w:kern w:val="2"/>
          <w:sz w:val="32"/>
          <w:szCs w:val="32"/>
          <w:u w:val="none"/>
          <w:lang w:val="en-US" w:eastAsia="zh-CN" w:bidi="ar-SA"/>
        </w:rPr>
      </w:pPr>
    </w:p>
    <w:p>
      <w:pPr>
        <w:pStyle w:val="2"/>
        <w:rPr>
          <w:rFonts w:hint="eastAsia" w:ascii="仿宋_GB2312" w:hAnsi="黑体" w:eastAsia="仿宋_GB2312" w:cs="Times New Roman"/>
          <w:b w:val="0"/>
          <w:bCs w:val="0"/>
          <w:i w:val="0"/>
          <w:kern w:val="2"/>
          <w:sz w:val="32"/>
          <w:szCs w:val="32"/>
          <w:u w:val="none"/>
          <w:lang w:val="en-US" w:eastAsia="zh-CN" w:bidi="ar-SA"/>
        </w:rPr>
      </w:pPr>
    </w:p>
    <w:p>
      <w:pPr>
        <w:pStyle w:val="2"/>
        <w:rPr>
          <w:rFonts w:hint="eastAsia" w:ascii="仿宋_GB2312" w:hAnsi="黑体" w:eastAsia="仿宋_GB2312" w:cs="Times New Roman"/>
          <w:b w:val="0"/>
          <w:bCs w:val="0"/>
          <w:i w:val="0"/>
          <w:kern w:val="2"/>
          <w:sz w:val="32"/>
          <w:szCs w:val="32"/>
          <w:u w:val="none"/>
          <w:lang w:val="en-US" w:eastAsia="zh-CN" w:bidi="ar-SA"/>
        </w:rPr>
      </w:pPr>
    </w:p>
    <w:p>
      <w:pPr>
        <w:rPr>
          <w:rFonts w:hint="default"/>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D09BBF"/>
    <w:multiLevelType w:val="singleLevel"/>
    <w:tmpl w:val="50D09BBF"/>
    <w:lvl w:ilvl="0" w:tentative="0">
      <w:start w:val="2"/>
      <w:numFmt w:val="chineseCounting"/>
      <w:suff w:val="nothing"/>
      <w:lvlText w:val="%1、"/>
      <w:lvlJc w:val="left"/>
      <w:pPr>
        <w:ind w:left="-1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FA7648"/>
    <w:rsid w:val="060A2BB0"/>
    <w:rsid w:val="06BF3891"/>
    <w:rsid w:val="07543C7D"/>
    <w:rsid w:val="080F52CD"/>
    <w:rsid w:val="089731BF"/>
    <w:rsid w:val="0AEF2714"/>
    <w:rsid w:val="112B2928"/>
    <w:rsid w:val="126C20F7"/>
    <w:rsid w:val="170A4FEE"/>
    <w:rsid w:val="171D213F"/>
    <w:rsid w:val="185E6113"/>
    <w:rsid w:val="1BBD36F0"/>
    <w:rsid w:val="1ECB1649"/>
    <w:rsid w:val="1F0A5ED6"/>
    <w:rsid w:val="2074734A"/>
    <w:rsid w:val="23601356"/>
    <w:rsid w:val="252811BB"/>
    <w:rsid w:val="261E59DD"/>
    <w:rsid w:val="28053062"/>
    <w:rsid w:val="28234FA3"/>
    <w:rsid w:val="2A8057B6"/>
    <w:rsid w:val="2AD513B3"/>
    <w:rsid w:val="35D80EBD"/>
    <w:rsid w:val="36E33731"/>
    <w:rsid w:val="37F318F9"/>
    <w:rsid w:val="38C73804"/>
    <w:rsid w:val="3E0C510B"/>
    <w:rsid w:val="3F2C65B7"/>
    <w:rsid w:val="3F54008F"/>
    <w:rsid w:val="41234870"/>
    <w:rsid w:val="471F74FA"/>
    <w:rsid w:val="47581FF5"/>
    <w:rsid w:val="49865292"/>
    <w:rsid w:val="4A1B14B5"/>
    <w:rsid w:val="4F500C4F"/>
    <w:rsid w:val="4FA249B2"/>
    <w:rsid w:val="590A34AE"/>
    <w:rsid w:val="5D2D7ED2"/>
    <w:rsid w:val="5DB4602D"/>
    <w:rsid w:val="60334C79"/>
    <w:rsid w:val="62442853"/>
    <w:rsid w:val="64087E12"/>
    <w:rsid w:val="641A347D"/>
    <w:rsid w:val="648B1AB1"/>
    <w:rsid w:val="66CE2882"/>
    <w:rsid w:val="67724AD4"/>
    <w:rsid w:val="6C69705A"/>
    <w:rsid w:val="6C9D2BBD"/>
    <w:rsid w:val="6E844477"/>
    <w:rsid w:val="6EE32413"/>
    <w:rsid w:val="710B4AE0"/>
    <w:rsid w:val="76411BE0"/>
    <w:rsid w:val="777E4C2A"/>
    <w:rsid w:val="7A195AFB"/>
    <w:rsid w:val="7D742FFC"/>
    <w:rsid w:val="7FD969F9"/>
    <w:rsid w:val="FC7FFB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Normal Indent"/>
    <w:basedOn w:val="1"/>
    <w:qFormat/>
    <w:uiPriority w:val="0"/>
    <w:pPr>
      <w:ind w:firstLine="200"/>
    </w:pPr>
    <w:rPr>
      <w:lang w:val="zh-CN"/>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_Style 3"/>
    <w:next w:val="1"/>
    <w:qFormat/>
    <w:uiPriority w:val="0"/>
    <w:pPr>
      <w:wordWrap w:val="0"/>
      <w:spacing w:before="200" w:after="160"/>
      <w:ind w:left="864" w:right="864"/>
      <w:jc w:val="center"/>
    </w:pPr>
    <w:rPr>
      <w:rFonts w:ascii="Times New Roman" w:hAnsi="Times New Roman" w:eastAsia="宋体" w:cs="Times New Roman"/>
      <w:i/>
      <w:sz w:val="21"/>
      <w:szCs w:val="22"/>
      <w:lang w:val="en-US" w:eastAsia="zh-CN" w:bidi="ar-SA"/>
    </w:rPr>
  </w:style>
  <w:style w:type="paragraph" w:styleId="10">
    <w:name w:val="List Paragraph"/>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24</TotalTime>
  <ScaleCrop>false</ScaleCrop>
  <LinksUpToDate>false</LinksUpToDate>
  <CharactersWithSpaces>0</CharactersWithSpaces>
  <Application>WPS Office_11.8.2.1116_F1E327BC-269C-435d-A152-05C5408002CA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2024-06-07T14:13:00Z</dcterms:created>
  <dc:creator>Administrator</dc:creator>
  <cp:lastModifiedBy>lenovo</cp:lastModifiedBy>
  <cp:lastPrinted>2025-03-03T14:28:00Z</cp:lastPrinted>
  <dcterms:modified xsi:type="dcterms:W3CDTF">2025-04-09T10:02:07Z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2052-11.8.2.1116</vt:lpwstr>
  </property>
  <property fmtid="{D5CDD505-2E9C-101B-9397-08002B2CF9AE}" pid="3" name="ICV">
    <vt:lpwstr>0310213EADF29CD81FD5F56731D2A1D6</vt:lpwstr>
  </property>
</Properties>
</file>