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219" w:tblpY="1772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8"/>
      </w:tblGrid>
      <w:tr w14:paraId="5F75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068" w:type="dxa"/>
            <w:tcBorders>
              <w:left w:val="double" w:color="auto" w:sz="4" w:space="0"/>
              <w:right w:val="double" w:color="auto" w:sz="4" w:space="0"/>
            </w:tcBorders>
          </w:tcPr>
          <w:p w14:paraId="72067228">
            <w:pPr>
              <w:pStyle w:val="4"/>
              <w:numPr>
                <w:ilvl w:val="0"/>
                <w:numId w:val="0"/>
              </w:numPr>
              <w:spacing w:before="156" w:after="156"/>
              <w:ind w:firstLine="720" w:firstLineChars="300"/>
              <w:rPr>
                <w:rFonts w:hint="default" w:ascii="宋体" w:hAnsi="宋体" w:eastAsia="宋体" w:cs="宋体"/>
                <w:b/>
                <w:bCs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玉雕大师工作室项目</w:t>
            </w:r>
            <w:r>
              <w:rPr>
                <w:rFonts w:hint="eastAsia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  <w:p w14:paraId="6B2AFE13">
            <w:pPr>
              <w:pStyle w:val="4"/>
              <w:numPr>
                <w:ilvl w:val="0"/>
                <w:numId w:val="0"/>
              </w:numPr>
              <w:spacing w:before="156" w:after="15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、服务范围及内容、服务范围及内容★</w:t>
            </w:r>
          </w:p>
          <w:tbl>
            <w:tblPr>
              <w:tblStyle w:val="9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"/>
              <w:gridCol w:w="2820"/>
              <w:gridCol w:w="1198"/>
              <w:gridCol w:w="2547"/>
              <w:gridCol w:w="2161"/>
            </w:tblGrid>
            <w:tr w14:paraId="4BCD30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  <w:jc w:val="center"/>
              </w:trPr>
              <w:tc>
                <w:tcPr>
                  <w:tcW w:w="9490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F42CC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《玉雕大师工作室项目》设备采购清单</w:t>
                  </w:r>
                </w:p>
              </w:tc>
            </w:tr>
            <w:tr w14:paraId="21C6F9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D1765C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9F9BC2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F8632B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9201D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18E39">
                  <w:pPr>
                    <w:widowControl/>
                    <w:spacing w:line="52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最高限价（单位：元）</w:t>
                  </w:r>
                </w:p>
              </w:tc>
            </w:tr>
            <w:tr w14:paraId="65782A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46DB52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967D17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高速玉雕机（固定机）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ACBD2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F50B7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51C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/>
                    </w:rPr>
                    <w:t>5000/台</w:t>
                  </w:r>
                </w:p>
              </w:tc>
            </w:tr>
            <w:tr w14:paraId="102DD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BEDD7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88FC9A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玉石电子雕刻机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63846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5FB797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EB54C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/>
                    </w:rPr>
                    <w:t>913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/>
                    </w:rPr>
                    <w:t>/台</w:t>
                  </w:r>
                </w:p>
              </w:tc>
            </w:tr>
            <w:tr w14:paraId="668E8C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FCB719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A2B8DA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小型数控玉雕机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F5A41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030B0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0C199A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/>
                    </w:rPr>
                    <w:t>25188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/>
                    </w:rPr>
                    <w:t>/台</w:t>
                  </w:r>
                </w:p>
              </w:tc>
            </w:tr>
            <w:tr w14:paraId="1630EB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415870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EA37A2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玉雕设备耗材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4F500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组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B855C6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231B2A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1412/组</w:t>
                  </w:r>
                </w:p>
              </w:tc>
            </w:tr>
            <w:tr w14:paraId="062922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4BACE1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4F223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玉石原料标本耗材</w:t>
                  </w:r>
                </w:p>
              </w:tc>
              <w:tc>
                <w:tcPr>
                  <w:tcW w:w="1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CED46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组</w:t>
                  </w:r>
                </w:p>
              </w:tc>
              <w:tc>
                <w:tcPr>
                  <w:tcW w:w="25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7B6D01">
                  <w:pPr>
                    <w:widowControl/>
                    <w:spacing w:line="52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5E33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18574/组</w:t>
                  </w:r>
                </w:p>
              </w:tc>
            </w:tr>
          </w:tbl>
          <w:p w14:paraId="56180CFD">
            <w:pPr>
              <w:pStyle w:val="4"/>
              <w:numPr>
                <w:ilvl w:val="0"/>
                <w:numId w:val="0"/>
              </w:numPr>
              <w:spacing w:before="156" w:after="156"/>
              <w:ind w:left="-260" w:leftChars="-124" w:firstLine="241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/>
                <w:b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采购详细技术服务要求及标准★</w:t>
            </w:r>
          </w:p>
          <w:p w14:paraId="748FEB7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附件1</w:t>
            </w:r>
          </w:p>
          <w:tbl>
            <w:tblPr>
              <w:tblStyle w:val="9"/>
              <w:tblW w:w="881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5"/>
              <w:gridCol w:w="791"/>
              <w:gridCol w:w="5844"/>
              <w:gridCol w:w="735"/>
              <w:gridCol w:w="831"/>
            </w:tblGrid>
            <w:tr w14:paraId="16EBCD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10211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02CD4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64358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性能参数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CA83570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DB9DC4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数量</w:t>
                  </w:r>
                </w:p>
              </w:tc>
            </w:tr>
            <w:tr w14:paraId="67A65E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0C7A30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F7E18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高速玉雕机（固定机）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117DD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磨头主轴无级变速，最大加工尺寸400mm，磨头是固定型。配有工具柜和挡板，可放置电子机，转速：0~12000转/分（无极调速，加挡板和工具柜）。</w:t>
                  </w:r>
                </w:p>
                <w:p w14:paraId="7D2500C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精度：1、磨头主轴内圆的径向跳动应不大于0.01毫米；</w:t>
                  </w:r>
                </w:p>
                <w:p w14:paraId="08E26E6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      2、主轴装上轴杆后，其轴杆的径向跳动应不大于0.03毫米；</w:t>
                  </w:r>
                </w:p>
                <w:p w14:paraId="7BBAC33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外形尺寸：≥1020*590*920mm；</w:t>
                  </w:r>
                </w:p>
                <w:p w14:paraId="6F553A7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电动机功率：308W；</w:t>
                  </w:r>
                </w:p>
                <w:p w14:paraId="7D9C210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电压：220V 50Hz；</w:t>
                  </w:r>
                </w:p>
                <w:p w14:paraId="72A11F7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重量：≥75kg；</w:t>
                  </w:r>
                </w:p>
                <w:p w14:paraId="3508574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配：10L塑料桶1个；吊针输液管1套；旋转工具盒1个；不锈钢挡水板1片：长1400mm.宽150mm，厚0.3mm。配凳子1张。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84AAEF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570929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</w:tr>
            <w:tr w14:paraId="4D480F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75CF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0910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玉石电子雕刻机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4C5B4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主要用于首饰加工的雕蜡，执模、镶石。</w:t>
                  </w:r>
                </w:p>
                <w:p w14:paraId="417B7E0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电压：220V/50HZ，功率：65W。</w:t>
                  </w:r>
                </w:p>
                <w:p w14:paraId="02C010F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转速范围：0-35000Rpm。</w:t>
                  </w:r>
                </w:p>
                <w:p w14:paraId="32F5C1B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扭矩：2.8N.cm。</w:t>
                  </w:r>
                </w:p>
                <w:p w14:paraId="6376DE3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外形尺寸：≥104*101*85mm（长*宽*高）。</w:t>
                  </w:r>
                </w:p>
                <w:p w14:paraId="3ED3746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可选择手动/脚踏控制速度，脚踏无极调速功能。正/反转任意切换。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DA4041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6E3022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</w:tr>
            <w:tr w14:paraId="610EEA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5E0C3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4FB584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小型数控玉雕机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B90B5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/Y/Z行程:≥147*118*85mm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加工尺寸（圆雕）：≥Φ80*L110mm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加工尺寸（浮雕）≥125*110*80mm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外观尺寸：≥600*505*590mm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重量：≈80KG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材质：铝合金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雕刻及夹持方式：顶压、胶粘、四爪卡盘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雕刻分辨率：±0.01mm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主轴转速：0-24000rpm/min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加工速度：0-3000mm/min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主轴功率：约800W四轴承水冷变频主轴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导轨：进口20方轨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丝杠：进口TBI丝杠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驱动方式：混合何服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可夹持刀具柄径：2.3/3/4/6mm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额定电压：AC220V/50-60Hz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整机功率：1.2KW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控制系统：四联动手柄数控系统</w:t>
                  </w:r>
                </w:p>
                <w:p w14:paraId="36801057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配：数控机械手 1把</w:t>
                  </w:r>
                </w:p>
                <w:p w14:paraId="0211ABC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数控机械手性能特点：</w:t>
                  </w:r>
                </w:p>
                <w:p w14:paraId="2B10A0F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1.自带可拆卸、可充电大容量锂电池电源，电池容量高待机时间长；             </w:t>
                  </w:r>
                </w:p>
                <w:p w14:paraId="46873FE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2.使用安卓平板或安卓手机通过蓝牙连接实现人机控制界面，只需下载安装对应 APP 即可使用，使用时屏幕可直观显示当前刻磨的分度和加工面高亮显示；</w:t>
                  </w:r>
                </w:p>
                <w:p w14:paraId="1402A07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3.APP 自带多种常用标准琢型数据，可一键调出即可开始刻磨加工，也可以自行输入特殊数据并保存，可导入待加工数据文件，支持GEMCAD设计的数据文件；</w:t>
                  </w:r>
                </w:p>
                <w:p w14:paraId="14B1DF4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4.具有至少两种基本工作模式，可随机切换模式，可快速简便设置位置；                       </w:t>
                  </w:r>
                </w:p>
                <w:p w14:paraId="673B134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5.可自定义任意设置分度，可任意增加、修改、删除当前层；</w:t>
                  </w:r>
                </w:p>
                <w:p w14:paraId="5E8BC29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24"/>
                      <w:szCs w:val="24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.为保障质量及功能可靠性，响应文件须提供产品实物图片及满足参数、功能要求的详细图文介绍材料。</w:t>
                  </w:r>
                </w:p>
                <w:p w14:paraId="7E2EB90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数控机械手技术参数：1.角度精度： ±0.02°；</w:t>
                  </w:r>
                </w:p>
                <w:p w14:paraId="732C9D6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2.电池类型：聚合物锂电池；</w:t>
                  </w:r>
                </w:p>
                <w:p w14:paraId="715A60B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3.电池电压：11.7V；</w:t>
                  </w:r>
                </w:p>
                <w:p w14:paraId="6D3DABF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4.充电电压：DC12V；</w:t>
                  </w:r>
                </w:p>
                <w:p w14:paraId="492399A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5.基本尺寸：≤ 210mm X  62mm X  80mm ；</w:t>
                  </w:r>
                </w:p>
                <w:p w14:paraId="0263B71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6.重量：≤ 750g。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D872714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E0B9BB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59CC32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2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3B9F2E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A1F65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玉雕设备耗材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CB3170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雕刻工具</w:t>
                  </w:r>
                </w:p>
                <w:p w14:paraId="044BFE5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180#、320#、800#砂条各2根；40mm牛皮2个；钻石抛光粉2包；150mm磨盘2片；20斩砣、25斩砣、35斩砣各2个；小毛刷2个；毛毡4个；大毛毡4个；切片2个；30齐头、60齐头、10B、20B、40B、60B、20H、40H、80H、100H、140H、10D、20D、30D、40D、20C2、40C2、60C2、80C2、20C3、40C3、60C3、30K、40K、80K、100K、140K、20C7、30C7、40C710Q、20Q、40Q、60Q、10T、20T、40T、20G、30G、40G、10A、20A、25A、20J、30J、40J、20F、40F、60F、十字开口40、100E各10支。</w:t>
                  </w:r>
                </w:p>
                <w:p w14:paraId="01918AE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2、玉雕抛光耗材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包含：8mm砂胶磨头：180#、240#、320#、600#、800#、1000#、1200#、1500#各2支；</w:t>
                  </w:r>
                </w:p>
                <w:p w14:paraId="172D630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红砂轮：锥形大、中、小，柱形大、中、小各2支；；</w:t>
                  </w:r>
                </w:p>
                <w:p w14:paraId="097C96B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刷子：轮形钢丝刷、杯形钢丝刷、轮形铜丝刷、杯形铜丝刷、轮形鬃毛刷、杯形鬃毛刷各2支；</w:t>
                  </w:r>
                </w:p>
                <w:p w14:paraId="7AD4AA2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羊毛轮：锥形大、中、小，柱形大、中、小各2支；</w:t>
                  </w:r>
                </w:p>
                <w:p w14:paraId="1280683E">
                  <w:pPr>
                    <w:pStyle w:val="2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有柄小布轮2支、羊皮轮2支、抛光膏2盒、直径</w:t>
                  </w:r>
                  <w:r>
                    <w:rPr>
                      <w:rFonts w:hint="eastAsia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约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150mm砂盘2片、牛皮轮2支、6mm竹签2支、502胶水2支、AB胶2支、6mm锣机夹头2个。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3123E3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组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0899D95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353A93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2" w:hRule="atLeast"/>
                <w:jc w:val="center"/>
              </w:trPr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F232E7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6E92B9B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玉石原料标本耗材</w:t>
                  </w:r>
                </w:p>
              </w:tc>
              <w:tc>
                <w:tcPr>
                  <w:tcW w:w="5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442DF8C">
                  <w:pPr>
                    <w:widowControl/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包括翡翠、岫玉、玉髓等标本，具体参数详见附件</w:t>
                  </w:r>
                </w:p>
                <w:p w14:paraId="64112DA7">
                  <w:pPr>
                    <w:widowControl/>
                    <w:spacing w:line="52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(严格按照招标要求规格参数供货，其规格大小误差±1mm)。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见下方附件1：玉石原料标本耗材清单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591A01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组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9EC9557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</w:tbl>
          <w:p w14:paraId="63311FEC">
            <w:pPr>
              <w:pStyle w:val="4"/>
              <w:numPr>
                <w:ilvl w:val="1"/>
                <w:numId w:val="0"/>
              </w:numPr>
              <w:tabs>
                <w:tab w:val="clear" w:pos="567"/>
              </w:tabs>
              <w:spacing w:before="156" w:after="156"/>
              <w:rPr>
                <w:rStyle w:val="11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附件2：玉石原石标本耗材清单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</w:p>
          <w:tbl>
            <w:tblPr>
              <w:tblStyle w:val="9"/>
              <w:tblW w:w="9609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1644"/>
              <w:gridCol w:w="5000"/>
              <w:gridCol w:w="950"/>
              <w:gridCol w:w="1317"/>
            </w:tblGrid>
            <w:tr w14:paraId="3DF998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8D7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CBB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B2E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参数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96C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8AC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数量</w:t>
                  </w:r>
                </w:p>
              </w:tc>
            </w:tr>
            <w:tr w14:paraId="072178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7CA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D9C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岫玉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9D00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5cm，绿色，手镯芯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68B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67C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300</w:t>
                  </w:r>
                </w:p>
              </w:tc>
            </w:tr>
            <w:tr w14:paraId="0806CE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8E3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4F19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玉髓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D659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5cm，灰色，手镯芯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01B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5BE5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80</w:t>
                  </w:r>
                </w:p>
              </w:tc>
            </w:tr>
            <w:tr w14:paraId="2FB438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242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A80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5F33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直径</w:t>
                  </w: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5cm，灰白色-浅绿色，手镯心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0AB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547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</w:tr>
            <w:tr w14:paraId="1BF78A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DD4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7B4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CD9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6.34x32.41mm，淡绿色,福瓜挂件，糯种，微透明，纤维交织结构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8A0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235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DDF13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CB0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908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CAA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20.55x20.55mm，灰黑色，圆片状，微透明，纤维交织结构，乌鸡种翡翠，可见“翠性”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A1A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2E3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4C4CE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456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EF5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1F7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17.10x17.10mm，灰绿色，平安扣，半透明，油青种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637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43E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CBA61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8C5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64D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BD45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15.85x18.62mm，佛雕件，冰油青，微透明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4DD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6CA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4D348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025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57F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922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13.73x32.81mm，淡绿色，无事牌挂件，半透明，糯化种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C68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BB8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883F2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0BF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FD8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翡翠（抛光粉染色）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482B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淡绿色，手镯，51圈口，可见抛光粉残留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C6F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BB8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CCE36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869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DE87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49D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12.20x16.10mm，淡绿色，椭圆弧面，微透明，未染色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267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E8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FDE2E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4D4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A73D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6A4F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10.02x12.01mm，灰紫色，椭圆弧面，可见酸蚀网纹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E58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4FD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1BF6A9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348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0BD54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4448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19.42x50.37mm，淡紫色，挂件，可见酸蚀网纹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530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E4C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13B27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497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8ACE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13DE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27.16x27.16mm，绿色，平安扣，可见酸蚀网纹，颜色呈丝网状分布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A23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1C7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D8352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7D3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4C15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F80C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9.63x11.85mm，紫色，椭圆弧面，可见酸蚀网纹、颜色分布特征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636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7F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803F9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C31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1EA0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EFB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22.46x24.00mm，红色-绿色-白色，心形挂件，可见酸蚀网纹、颜色分布特征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3F4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2A3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DC585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121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D00F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800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28.06x62.40mm，绿色，挂件，半透明，仿豆青花件，可见酸蚀网纹，颜色呈丝网状分布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717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9DF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C5449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997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6910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E469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淡绿色，正圈手镯，圈口56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0ACF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A79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01297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8F8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16F4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软玉-草花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BE0C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12.76x17.40mm，底色为白，褐色花纹，椭圆弧面，不透明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708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FF9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BD3EC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05E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83B02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软玉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31C3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9.45x18.03mm，灰紫色，福豆挂件，纤维交织结构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F7D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ABD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DABEC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F98A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4893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软玉猫眼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179F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5.92x9.38mm，绿色，马眼弧面，可见猫眼效应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7AEF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A001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F8C61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4B5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60BA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染色软玉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6EE1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19.87x21.10mm，褐黄色，浑圆状，微透明，可见染色特征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248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5B7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AC97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C04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D0F7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火欧泊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C37A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4.16x6.09mm，橙红色，水滴刻面，带NGTC鉴定证书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58A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8A8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1D0A3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E20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BDD9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欧泊猫眼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FE0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8.20x9.07mm，黄色，椭圆弧面，可见一组定向排列纤维状包体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857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035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5F9B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603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BE92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蛋白石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FC5B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13.17x18.23mm，粉色，椭圆弧面，不透明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84E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94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3DBB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F68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7955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染色欧泊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E7A4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12.05x15.93mm，黑色，弧面，具有变彩效应及染色特征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C89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A98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3BC11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CA1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CA4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石英岩玉（独龙翠）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BC3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13x16mm，绿色，椭圆弧面，粒状结构，可见矿物包体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EDB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66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20E61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8F7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925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石英岩玉（贵翠）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C026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16.17x16.17mm，蓝色，珠形，粒状结构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203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4FC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1CC016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ABE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9B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黄龙玉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92D1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12.22x19.90mm，黄色，牙雕件,半透明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531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CC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6463D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269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1C2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染色石英岩玉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B19C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15.62x18.32mm，绿色，佛公雕件，可见染色特征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1D3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C0C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6A56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B1C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BF8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充填玛瑙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531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13.11x18.17mm,粉白色，樱花玛瑙，可见絮状花纹，充填特征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12E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CE1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293F9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11E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DC28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碧石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2DEB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13.12x18.15mm，褐黄色、褐红色斑杂，椭圆弧面，不透明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D1B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B0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D2927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CEB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DDFD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木变石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0BF7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10.33x14.28mm，蜜黄色，椭圆弧面，可见丝绢光泽和纤维状结构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3E2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4D2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AFF1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30E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27D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染色木变石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4AF8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10.05x14.12mm，紫色，椭圆弧面，纤维状结构，黄色纤维被染成紫色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6B2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30C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C3781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AA7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237A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硅化木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85C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14.60x14.60mm，圆弧面，褐色，不透明，可见木质结构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50E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67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C59C2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7A2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E4C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硅化珊瑚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3F42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14.94x17.54mm，棕黄色，椭圆弧面，可见珊瑚的同心放射状构造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039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3D3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EC8D7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7C4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3042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09DA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24.32x24.52mm，淡绿色，圆片，微透明，纤维交织结构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479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BA4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55E7A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0975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88D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21DA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7.06x9.14mm，白色-无色，椭圆弧面，纤维交织结构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05E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59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3BEB4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E58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AAD4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19F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60x60mm，绿色，平安扣，纤维交织结构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639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B9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C5EBE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6EB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CE92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染色蛇纹石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8A4F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14.85x27.32mm，挂件，局部染成红色，呈血丝状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B62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87F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99D2B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BCD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51F5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独山玉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50B7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12.35x17.02mm，深绿色-白色，椭圆弧面，微透明。粒状结构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1A2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64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40E2A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E24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09DB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独山玉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9EC1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14.34x14.40mm，酱色，片状，可见矿物包体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7F7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935A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43D0CA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693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3C7D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染色独山玉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CCC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12.48x15.96mm，粉红色，椭圆弧面，不透明，可见染色特征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53E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A2E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12A9C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012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0109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查罗石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F1B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11.25x11.25mm，褐色，圆珠，可见丝绢光泽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B70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7C2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7CBE2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7BA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D0A0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钠长石玉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5B25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13.61x15.97mm，似方形弧面，可见絮状结构及细粒状结构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DC8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9E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1D370A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F03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5544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蔷薇辉石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E800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13.23x13.23mm，粉色调，圆形弧面，不透明，方解石含量较多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7A1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1F5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25DDA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1CD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144C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绿松石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0CF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8.34x8.34mm，淡蓝绿色，圆弧面，可见铁线,，结构较松散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5D77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D2D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59400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05D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88B0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充填绿松石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400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6.16x8.00mm，蓝绿色，椭圆弧面，可见充填特征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D67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7FA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ED64B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B6C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32DB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染色、充填绿松石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C179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0.20x14.16mm，蓝绿色，椭圆弧面，不透明，带NGTC证书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7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3A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28903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4B0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49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63D1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青金石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9060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18.95x28.08mm，蓝色，水滴弧面,具有白色方解石及金色黄铁矿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C56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3F9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88B4A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A973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0050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染色青金石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949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19.95x19.95mm，蓝色，圆弧面，不透明，可见染色特征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E05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EF4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69DED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3FF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94CA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孔雀石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2A5F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6.98X9.13mm，深绿色，椭圆弧面，不透明，可见条纹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8ED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5B1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EABC7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479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D8A8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硅孔雀石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B95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11.60x11.60mm，圆弧面，绿蓝色，块状构造，多矿物集合体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3D9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37E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4241A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DFE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F651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大理石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4E3C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28.67x28.69mm，平安扣，橙黄色，半透明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5D2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FD7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0934D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2A0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3D36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大理石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9BB2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19.52x24.81mm，蓝色，水滴弧面，可见条带构造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C41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7F1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198D9D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625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8A62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蓝田玉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A086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9.64x14.61mm，弧面，黄绿色，半透明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0A6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FF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607D7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C9D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56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833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碳酸盐质玉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E8FF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10.58x10.71mm，圆形弧面，淡绿色，可见特征纹理，半透明，绿纹石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03A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EB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C9F4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B6A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6333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染色大理石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2F3B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36.45x36.89mm，红色，圆环，不透明，可见染色特征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4FA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8EA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E7CE3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646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58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70A1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白云石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911D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8.14x8.14mm，绿色，珠形，不透明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CD2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71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900EC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02C1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59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24F2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水钙铝榴石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D3B1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12.55x20.79mm，绿色，随形弧面，具有黑色点状矿物包体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20B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CB4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4F9B7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DA2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BF49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方钠石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7E9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15.50x30.20mm，蓝色，弧面，可见白色脉络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15C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8D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00DDAC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834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61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A1AB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天然玻璃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EB0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13.98x13.98mm，黑色，圆弧面，可见白色雏晶及气泡，雪花黑曜岩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00C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0C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5AB42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3E2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62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314D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异极矿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31F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24.04x31.64mm，特征蓝色，抛光片，具有条带状构造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BF7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2A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7F3839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1D9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63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6C2A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云母质玉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4215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13.48x17.41mm，绿色，椭圆弧面,片状或鳞片状结构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BB8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83F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3D6BD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812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64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15D4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针钠钙石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3F5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9.92x11.77mm，椭圆弧面，蓝色，具有纤维状结构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B62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E9A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  <w:tr w14:paraId="298A15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504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65</w:t>
                  </w:r>
                </w:p>
              </w:tc>
              <w:tc>
                <w:tcPr>
                  <w:tcW w:w="1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D10F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符山石玉</w:t>
                  </w:r>
                </w:p>
              </w:tc>
              <w:tc>
                <w:tcPr>
                  <w:tcW w:w="5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3C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1"/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15.33x19.10mm，黄绿色，椭圆弧面，放大检察可见矿物包体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67C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4A5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</w:tr>
          </w:tbl>
          <w:p w14:paraId="63CD4B66">
            <w:pPr>
              <w:pStyle w:val="4"/>
              <w:numPr>
                <w:ilvl w:val="1"/>
                <w:numId w:val="0"/>
              </w:numPr>
              <w:spacing w:before="156" w:after="156"/>
              <w:ind w:left="-260" w:leftChars="-124" w:firstLine="241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、商务要求★</w:t>
            </w:r>
          </w:p>
          <w:tbl>
            <w:tblPr>
              <w:tblStyle w:val="9"/>
              <w:tblW w:w="4637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0"/>
              <w:gridCol w:w="2385"/>
              <w:gridCol w:w="5702"/>
            </w:tblGrid>
            <w:tr w14:paraId="4CD79A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DC4FB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A3E6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交货地点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E375C1">
                  <w:pPr>
                    <w:spacing w:line="340" w:lineRule="exact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四川省成都市四川文化产业职业学院（校内具体地点由采购人指定）。</w:t>
                  </w:r>
                </w:p>
              </w:tc>
            </w:tr>
            <w:tr w14:paraId="2D0E05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83867E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196C3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交货期限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E6BF3D">
                  <w:pPr>
                    <w:spacing w:line="44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合同签订后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个日历日内交货，产品的附件、备品备件及专用工具、技术文件和资料等应随产品一同交付。</w:t>
                  </w:r>
                </w:p>
              </w:tc>
            </w:tr>
            <w:tr w14:paraId="6DAEAD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CEADB3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CCF069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运输及包装方式的要求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1A6661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中标人负责产品正式验收合格前的一切费用（包括运输、包装、仓储、安装、保险等费用）。</w:t>
                  </w:r>
                </w:p>
                <w:p w14:paraId="4CF2D2F4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包装方式按照原厂出厂原标准，中标人承担由于其包装或其防护措施不妥而引起货物锈蚀、损坏和丢失等任何损失，并按照“其它商务要求”中的“违约责任”承担相应责任。</w:t>
                  </w:r>
                </w:p>
              </w:tc>
            </w:tr>
            <w:tr w14:paraId="44B1ED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25AC5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1C63F2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安装、调试、验收及相关技术文件、资料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8EF06D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中标人将产品运输并卸至采购人指定地点，采购人将会同中标人及相关单位在到货后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</w:rPr>
                    <w:t xml:space="preserve">  5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个日历日内共同进行开箱检验。</w:t>
                  </w:r>
                </w:p>
                <w:p w14:paraId="071F598A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中标人负责免费安装、调试。安装、调试完成后，由采购人组织技术验收和商务验收，中标人做好协助配合。验收合格后签署《验收报告》。产品质量和安装调试检验标准遵照国家相关规定和最新标准执行。</w:t>
                  </w:r>
                </w:p>
                <w:p w14:paraId="04F38C59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验收中如发现有质量不合格或型号规格、数量等与送货清单不符、提交的技术文件和资料不完整等情形，中标人应免费更换或补齐，并按照“其它商务要求”中的“违约责任”承担相应责任。</w:t>
                  </w:r>
                </w:p>
              </w:tc>
            </w:tr>
            <w:tr w14:paraId="77A011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BABA0C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1A4FD5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技术培训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6DA140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中标人提供详细技术资料并免费对采购人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</w:rPr>
                    <w:t xml:space="preserve"> 5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人进行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u w:val="single"/>
                    </w:rPr>
                    <w:t xml:space="preserve">  3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工作日技术培训。</w:t>
                  </w:r>
                </w:p>
                <w:p w14:paraId="4FEA3A4C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培训的内容及方案应由双方协商制定。中标人前来进行技术培训的人员的费用包括在合同总价中。</w:t>
                  </w:r>
                </w:p>
              </w:tc>
            </w:tr>
            <w:tr w14:paraId="7AE051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78349F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0527BC"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付款方式和时间安排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8D5DC8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1.货物/产品安装完成，并经验收合格后，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个工作日内一次性支付全部合同金额（不计利息，遇寒暑假支付时间顺延）。</w:t>
                  </w:r>
                </w:p>
                <w:p w14:paraId="3F6A5F2F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2. 中标供应商在约定时间内将产品送到采购人指定地点。供应商完成产品安装和调试后，采购人在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个日历日内组织验收。验收合格后，中标人开具合同全额税收发票，采购人收到发票后在3个工作日内按程序办理全款支付手续。</w:t>
                  </w:r>
                </w:p>
                <w:p w14:paraId="1A7D2D83">
                  <w:pPr>
                    <w:pStyle w:val="8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40A159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44A8F2">
                  <w:pPr>
                    <w:jc w:val="center"/>
                    <w:rPr>
                      <w:rFonts w:hint="default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13D7DF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报价要求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2B3DB1">
                  <w:pPr>
                    <w:pStyle w:val="8"/>
                    <w:ind w:left="0" w:leftChars="0" w:firstLine="0" w:firstLineChars="0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供应商需单项报价，且报价不能超过单项报价的最高限价</w:t>
                  </w:r>
                </w:p>
              </w:tc>
            </w:tr>
            <w:tr w14:paraId="6EA880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83D8A9">
                  <w:pPr>
                    <w:jc w:val="center"/>
                    <w:rPr>
                      <w:rFonts w:hint="default" w:ascii="宋体" w:hAnsi="宋体" w:eastAsia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D99B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履约保证金</w:t>
                  </w:r>
                </w:p>
              </w:tc>
              <w:tc>
                <w:tcPr>
                  <w:tcW w:w="5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3BE75C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签订合同前支付合同总金额的5%，</w:t>
                  </w:r>
                </w:p>
                <w:p w14:paraId="0B75A425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交款方式：网银转账。</w:t>
                  </w:r>
                </w:p>
                <w:p w14:paraId="4E3492CE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收款单位：四川文化产业职业学院</w:t>
                  </w:r>
                </w:p>
                <w:p w14:paraId="0F5ED5E9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开户银行：工行盐市口支行</w:t>
                  </w:r>
                </w:p>
                <w:p w14:paraId="74894586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银行账号:4402902009100055397</w:t>
                  </w:r>
                </w:p>
                <w:p w14:paraId="1DB1324A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交款时间：中标（成交）通知书发出后，采购合同签订前。</w:t>
                  </w:r>
                </w:p>
                <w:p w14:paraId="6F7D8CA0">
                  <w:pPr>
                    <w:spacing w:line="460" w:lineRule="exact"/>
                    <w:ind w:firstLine="480" w:firstLineChars="20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履约保证金退还时间方式：供应商完成合同约定所有内容并经采购人验收合格，采购人接到申请和交纳凭证资料文件后10日内无息退还至成交人</w:t>
                  </w:r>
                </w:p>
                <w:p w14:paraId="729E61CA">
                  <w:pPr>
                    <w:spacing w:line="460" w:lineRule="exact"/>
                    <w:ind w:firstLine="480" w:firstLineChars="20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履约保证金不予退还情形：成交人不履行与采购人订立合同等情形。采购人逾期退还履约保证金的，将依法承担法律责任，并赔偿供应商损失。</w:t>
                  </w:r>
                </w:p>
                <w:p w14:paraId="3FAFDC5E">
                  <w:pPr>
                    <w:pStyle w:val="8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178E638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72061B6">
      <w:pPr>
        <w:rPr>
          <w:rFonts w:hint="eastAsia" w:ascii="宋体" w:hAnsi="宋体" w:eastAsia="宋体" w:cs="宋体"/>
          <w:sz w:val="24"/>
          <w:szCs w:val="24"/>
        </w:rPr>
      </w:pPr>
    </w:p>
    <w:p w14:paraId="192CF7EA">
      <w:pPr>
        <w:spacing w:line="600" w:lineRule="exac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售后服务要求：★</w:t>
      </w:r>
    </w:p>
    <w:tbl>
      <w:tblPr>
        <w:tblStyle w:val="9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14"/>
        <w:gridCol w:w="6751"/>
      </w:tblGrid>
      <w:tr w14:paraId="4622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6A7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A48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目录</w:t>
            </w:r>
          </w:p>
        </w:tc>
        <w:tc>
          <w:tcPr>
            <w:tcW w:w="6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6A8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招标商务需求</w:t>
            </w:r>
          </w:p>
        </w:tc>
      </w:tr>
      <w:tr w14:paraId="60BE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0C82"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（一）免费保修期内售后服务要求</w:t>
            </w:r>
          </w:p>
        </w:tc>
      </w:tr>
      <w:tr w14:paraId="5932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673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B43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关于免费保修期</w:t>
            </w:r>
          </w:p>
        </w:tc>
        <w:tc>
          <w:tcPr>
            <w:tcW w:w="6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0B30">
            <w:pPr>
              <w:spacing w:line="4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产品全部验收合格后（以技术验收合格签字为标准），免费提供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年上门保修服务、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年以上免费升级服务（免费升级服务适用于软件产品），质保期为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年。</w:t>
            </w:r>
          </w:p>
          <w:p w14:paraId="2B10C4DB">
            <w:pPr>
              <w:spacing w:line="4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质保期内，如因质量问题而引起产品损坏，中标人应对产品予以维修或更换，全部服务费和更换产品或配件的费用由中标人承担；中标人如不能修理或不能调换，按产品原价赔偿处理。保修期满后，中标人必须继续支持维修，并按成本价标准收取维修及零件费用。</w:t>
            </w:r>
          </w:p>
          <w:p w14:paraId="58548D00">
            <w:pPr>
              <w:spacing w:line="460" w:lineRule="exact"/>
              <w:ind w:firstLine="470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中标人应定期对产品进行预维护保养，以防患于未然。在整个产品运行过程中，中标人帮助采购人解决在应用过程中遇到的各种技术问题。</w:t>
            </w:r>
          </w:p>
        </w:tc>
      </w:tr>
      <w:tr w14:paraId="6AFC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E22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B4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维修响应及故障解决时间</w:t>
            </w:r>
          </w:p>
        </w:tc>
        <w:tc>
          <w:tcPr>
            <w:tcW w:w="6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D0A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质保期内，中标人将向采购人提供优质的售后技术支持服务，开通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24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小时热线电话接受采购人的电话技术咨询；如故障不能排除，中标人应在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 xml:space="preserve">  24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小时内提供现场服务，待产品运行正常后撤离现场。</w:t>
            </w:r>
          </w:p>
        </w:tc>
      </w:tr>
    </w:tbl>
    <w:p w14:paraId="246B6B70">
      <w:pPr>
        <w:numPr>
          <w:ilvl w:val="0"/>
          <w:numId w:val="0"/>
        </w:numPr>
        <w:spacing w:before="120" w:beforeLines="50" w:after="120" w:afterLines="50"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注：1、带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★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均为实质性需求。</w:t>
      </w:r>
      <w:r>
        <w:rPr>
          <w:color w:val="auto"/>
          <w:sz w:val="24"/>
          <w:szCs w:val="24"/>
        </w:rPr>
        <w:t>不满足</w:t>
      </w:r>
      <w:r>
        <w:rPr>
          <w:rFonts w:hint="eastAsia"/>
          <w:color w:val="auto"/>
          <w:sz w:val="24"/>
          <w:szCs w:val="24"/>
          <w:lang w:val="en-US" w:eastAsia="zh-CN"/>
        </w:rPr>
        <w:t>投标即</w:t>
      </w:r>
      <w:r>
        <w:rPr>
          <w:color w:val="auto"/>
          <w:sz w:val="24"/>
          <w:szCs w:val="24"/>
        </w:rPr>
        <w:t>被拒绝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本项目报价</w:t>
      </w:r>
      <w:r>
        <w:rPr>
          <w:rFonts w:hint="eastAsia" w:ascii="宋体" w:hAnsi="宋体" w:eastAsia="宋体" w:cs="宋体"/>
          <w:sz w:val="24"/>
          <w:szCs w:val="24"/>
        </w:rPr>
        <w:t>包括全部货物（设备）和服务价格，以及运输、装卸、配件、安装、调试、培训、维护、保险费、税费等一切相关费用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6EEE97">
      <w:pPr>
        <w:rPr>
          <w:rFonts w:hint="default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highlight w:val="none"/>
        </w:rPr>
        <w:tab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1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02C77"/>
    <w:rsid w:val="700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="0" w:leftChars="-58" w:hanging="139" w:hangingChars="66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character" w:default="1" w:styleId="10">
    <w:name w:val="Default Paragraph Font"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2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sz w:val="34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  <w:style w:type="character" w:customStyle="1" w:styleId="11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4669</Words>
  <Characters>5906</Characters>
  <Paragraphs>573</Paragraphs>
  <TotalTime>22</TotalTime>
  <ScaleCrop>false</ScaleCrop>
  <LinksUpToDate>false</LinksUpToDate>
  <CharactersWithSpaces>6025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2025-04-16T03:24:00Z</dcterms:created>
  <dc:creator>家有二宝</dc:creator>
  <cp:lastModifiedBy>家有二宝</cp:lastModifiedBy>
  <dcterms:modified xsi:type="dcterms:W3CDTF">2025-04-21T08:55:48Z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52490061B5504B239EBB905646FB2FBC_13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