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bCs/>
          <w:sz w:val="44"/>
          <w:szCs w:val="44"/>
          <w:lang w:val="en-US" w:eastAsia="zh-CN"/>
        </w:rPr>
      </w:pPr>
      <w:r>
        <w:rPr>
          <w:rFonts w:hint="eastAsia" w:ascii="宋体" w:hAnsi="宋体"/>
          <w:b/>
          <w:bCs/>
          <w:sz w:val="44"/>
          <w:szCs w:val="44"/>
          <w:lang w:val="en-US" w:eastAsia="zh-CN"/>
        </w:rPr>
        <w:t xml:space="preserve">    关于采购多场景制暴器的补充说明</w:t>
      </w:r>
    </w:p>
    <w:p>
      <w:pPr>
        <w:rPr>
          <w:rFonts w:hint="eastAsia" w:ascii="宋体" w:hAnsi="宋体"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为保证采购的多场景制暴器质量，现将需求作如下补充：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1.采购的多场景制暴器共计4支，供应商须提供携行箱和电击弹、约束弹、催泪弹、炫目弹（电击弹≥2发、约束弹≥2发、催泪弹≥2发、炫目弹≥1发）。制暴器和4种弹均可佩戴于单警腰带上。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2.电击弹、约束弹、催泪弹须另外各提供1发给采购方用于装备验收。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3.供应商提供的所有产品必须是全新、原装产品，不得以次充好或提供使用过的装备，凡是发现有以上违约行为的，采购方有权直接取消该供应商参与竞价的资格，并将该公司列入我狱采购对象的黑名单。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本项目挂网发布竞价公告后，参与竞价的供应商必须在公告期限内提供以下证明材料供采购方比选：①提供生产厂家针对本项目的授权书原件和售后服务承诺函原件；②参与报价产品参数响应情况以第三方权威测试试验中心出具的检测报告为评审依据。（确认供应商后签合同前提供检测报告原件查验，提供虚假材料的将取消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5.质保期必须≥1年，免费质保期内供应商负责“包退、包换、包修”等质量“三包”。过质保期后，非人为因素发生故障的，提供免费维修服务。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6.参加竞价的供应商一经确认，必须在7个日历日内将4支多场景制暴器及4类弹交</w:t>
      </w:r>
      <w:bookmarkStart w:id="0" w:name="_GoBack"/>
      <w:bookmarkEnd w:id="0"/>
      <w:r>
        <w:rPr>
          <w:rFonts w:hint="eastAsia" w:ascii="宋体" w:hAnsi="宋体" w:eastAsia="仿宋_GB2312" w:cs="仿宋_GB2312"/>
          <w:sz w:val="32"/>
          <w:szCs w:val="32"/>
          <w:lang w:val="en-US" w:eastAsia="zh-CN"/>
        </w:rPr>
        <w:t>；在交货时必须提交产品来源的证明材料，即：产品的来源为正品。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7.产品的试用期为5天，验收合格后，在15个工作日内向供应商对公转账采购金额。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8.验收不合格的，供应商必须在5个工作日内对问题产品进行更换，更换后的产品仍然存在问题的，采购人有权解除供应商供货资格，由供应商自行承担损失，并支付采购人采购金额30%的违约金（该项作为后续合同条款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440" w:firstLineChars="1700"/>
        <w:jc w:val="both"/>
        <w:textAlignment w:val="auto"/>
        <w:rPr>
          <w:rFonts w:hint="eastAsia" w:ascii="宋体" w:hAnsi="宋体" w:eastAsia="仿宋_GB2312" w:cs="仿宋_GB2312"/>
          <w:sz w:val="32"/>
          <w:szCs w:val="32"/>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both"/>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pacing w:val="7"/>
          <w:sz w:val="36"/>
          <w:szCs w:val="36"/>
          <w:lang w:val="en-US" w:eastAsia="zh-CN"/>
        </w:rPr>
      </w:pPr>
    </w:p>
    <w:p>
      <w:pPr>
        <w:spacing w:before="72" w:line="228" w:lineRule="auto"/>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pacing w:val="7"/>
          <w:sz w:val="36"/>
          <w:szCs w:val="36"/>
          <w:lang w:val="en-US" w:eastAsia="zh-CN"/>
        </w:rPr>
        <w:t>多场景制暴器</w:t>
      </w:r>
      <w:r>
        <w:rPr>
          <w:rFonts w:hint="eastAsia" w:ascii="方正小标宋简体" w:hAnsi="方正小标宋简体" w:eastAsia="方正小标宋简体" w:cs="方正小标宋简体"/>
          <w:spacing w:val="7"/>
          <w:sz w:val="36"/>
          <w:szCs w:val="36"/>
        </w:rPr>
        <w:t>产品参数</w:t>
      </w:r>
      <w:r>
        <w:rPr>
          <w:rFonts w:hint="eastAsia" w:ascii="方正小标宋简体" w:hAnsi="方正小标宋简体" w:eastAsia="方正小标宋简体" w:cs="方正小标宋简体"/>
          <w:spacing w:val="7"/>
          <w:sz w:val="36"/>
          <w:szCs w:val="36"/>
          <w:lang w:val="en-US" w:eastAsia="zh-CN"/>
        </w:rPr>
        <w:t>详情</w:t>
      </w:r>
    </w:p>
    <w:tbl>
      <w:tblPr>
        <w:tblStyle w:val="7"/>
        <w:tblW w:w="11100" w:type="dxa"/>
        <w:tblInd w:w="-10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0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32" w:type="dxa"/>
            <w:vAlign w:val="top"/>
          </w:tcPr>
          <w:p>
            <w:pPr>
              <w:pStyle w:val="6"/>
              <w:spacing w:before="78" w:line="263" w:lineRule="auto"/>
              <w:ind w:right="103"/>
              <w:jc w:val="center"/>
              <w:rPr>
                <w:b/>
                <w:bCs/>
                <w:spacing w:val="-4"/>
              </w:rPr>
            </w:pPr>
            <w:r>
              <w:rPr>
                <w:b/>
                <w:bCs/>
                <w:spacing w:val="-4"/>
              </w:rPr>
              <w:t>序号</w:t>
            </w:r>
          </w:p>
        </w:tc>
        <w:tc>
          <w:tcPr>
            <w:tcW w:w="10568" w:type="dxa"/>
            <w:vAlign w:val="top"/>
          </w:tcPr>
          <w:p>
            <w:pPr>
              <w:pStyle w:val="6"/>
              <w:spacing w:before="78" w:line="263" w:lineRule="auto"/>
              <w:ind w:right="103"/>
              <w:jc w:val="center"/>
              <w:rPr>
                <w:b/>
                <w:bCs/>
                <w:spacing w:val="-4"/>
              </w:rPr>
            </w:pPr>
            <w:r>
              <w:rPr>
                <w:b/>
                <w:bCs/>
                <w:spacing w:val="-4"/>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2" w:type="dxa"/>
            <w:vAlign w:val="center"/>
          </w:tcPr>
          <w:p>
            <w:pPr>
              <w:spacing w:before="69" w:line="188" w:lineRule="auto"/>
              <w:jc w:val="center"/>
              <w:rPr>
                <w:rFonts w:ascii="宋体" w:hAnsi="宋体" w:eastAsia="Times New Roman" w:cs="Times New Roman"/>
                <w:sz w:val="21"/>
                <w:szCs w:val="21"/>
              </w:rPr>
            </w:pPr>
            <w:r>
              <w:rPr>
                <w:rFonts w:ascii="宋体" w:hAnsi="宋体" w:eastAsia="Times New Roman" w:cs="Times New Roman"/>
                <w:spacing w:val="-15"/>
                <w:sz w:val="21"/>
                <w:szCs w:val="21"/>
              </w:rPr>
              <w:t>1</w:t>
            </w:r>
          </w:p>
        </w:tc>
        <w:tc>
          <w:tcPr>
            <w:tcW w:w="10568" w:type="dxa"/>
            <w:vAlign w:val="top"/>
          </w:tcPr>
          <w:p>
            <w:pPr>
              <w:pStyle w:val="6"/>
              <w:spacing w:before="78" w:line="263" w:lineRule="auto"/>
              <w:ind w:right="103"/>
              <w:rPr>
                <w:rFonts w:hint="eastAsia" w:ascii="宋体" w:hAnsi="宋体" w:eastAsia="仿宋"/>
                <w:sz w:val="21"/>
                <w:szCs w:val="21"/>
                <w:lang w:eastAsia="zh-CN"/>
              </w:rPr>
            </w:pPr>
            <w:r>
              <w:rPr>
                <w:rFonts w:hint="eastAsia" w:ascii="宋体" w:hAnsi="宋体"/>
                <w:sz w:val="21"/>
                <w:szCs w:val="21"/>
                <w:lang w:val="en-US" w:eastAsia="zh-CN"/>
              </w:rPr>
              <w:t>▲</w:t>
            </w:r>
            <w:r>
              <w:rPr>
                <w:rFonts w:ascii="宋体" w:hAnsi="宋体"/>
                <w:spacing w:val="-4"/>
                <w:sz w:val="21"/>
                <w:szCs w:val="21"/>
              </w:rPr>
              <w:t>应至少具备电击弹、约束弹、催泪弹、炫</w:t>
            </w:r>
            <w:r>
              <w:rPr>
                <w:rFonts w:ascii="宋体" w:hAnsi="宋体"/>
                <w:spacing w:val="-7"/>
                <w:sz w:val="21"/>
                <w:szCs w:val="21"/>
              </w:rPr>
              <w:t>目弹</w:t>
            </w:r>
            <w:r>
              <w:rPr>
                <w:rFonts w:ascii="宋体" w:hAnsi="宋体"/>
                <w:spacing w:val="-47"/>
                <w:sz w:val="21"/>
                <w:szCs w:val="21"/>
              </w:rPr>
              <w:t xml:space="preserve"> </w:t>
            </w:r>
            <w:r>
              <w:rPr>
                <w:rFonts w:ascii="宋体" w:hAnsi="宋体"/>
                <w:spacing w:val="-7"/>
                <w:sz w:val="21"/>
                <w:szCs w:val="21"/>
              </w:rPr>
              <w:t>4</w:t>
            </w:r>
            <w:r>
              <w:rPr>
                <w:rFonts w:ascii="宋体" w:hAnsi="宋体"/>
                <w:spacing w:val="-42"/>
                <w:sz w:val="21"/>
                <w:szCs w:val="21"/>
              </w:rPr>
              <w:t xml:space="preserve"> </w:t>
            </w:r>
            <w:r>
              <w:rPr>
                <w:rFonts w:ascii="宋体" w:hAnsi="宋体"/>
                <w:spacing w:val="-7"/>
                <w:sz w:val="21"/>
                <w:szCs w:val="21"/>
              </w:rPr>
              <w:t>类不同制伏方式的弹种</w:t>
            </w:r>
            <w:r>
              <w:rPr>
                <w:rFonts w:hint="eastAsia" w:ascii="宋体" w:hAnsi="宋体"/>
                <w:spacing w:val="-7"/>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32" w:type="dxa"/>
            <w:vAlign w:val="center"/>
          </w:tcPr>
          <w:p>
            <w:pPr>
              <w:spacing w:before="69" w:line="188" w:lineRule="auto"/>
              <w:jc w:val="center"/>
              <w:rPr>
                <w:rFonts w:ascii="宋体" w:hAnsi="宋体" w:eastAsia="Times New Roman" w:cs="Times New Roman"/>
                <w:sz w:val="21"/>
                <w:szCs w:val="21"/>
              </w:rPr>
            </w:pPr>
            <w:r>
              <w:rPr>
                <w:rFonts w:ascii="宋体" w:hAnsi="宋体" w:eastAsia="Times New Roman" w:cs="Times New Roman"/>
                <w:spacing w:val="-3"/>
                <w:sz w:val="21"/>
                <w:szCs w:val="21"/>
              </w:rPr>
              <w:t>2</w:t>
            </w:r>
          </w:p>
        </w:tc>
        <w:tc>
          <w:tcPr>
            <w:tcW w:w="10568" w:type="dxa"/>
            <w:vAlign w:val="top"/>
          </w:tcPr>
          <w:p>
            <w:pPr>
              <w:pStyle w:val="6"/>
              <w:spacing w:before="78" w:line="219" w:lineRule="auto"/>
              <w:rPr>
                <w:rFonts w:hint="eastAsia" w:ascii="宋体" w:hAnsi="宋体" w:eastAsia="仿宋"/>
                <w:sz w:val="21"/>
                <w:szCs w:val="21"/>
                <w:lang w:eastAsia="zh-CN"/>
              </w:rPr>
            </w:pPr>
            <w:r>
              <w:rPr>
                <w:rFonts w:hint="eastAsia" w:ascii="宋体" w:hAnsi="宋体"/>
                <w:sz w:val="21"/>
                <w:szCs w:val="21"/>
                <w:lang w:val="en-US" w:eastAsia="zh-CN"/>
              </w:rPr>
              <w:t>▲</w:t>
            </w:r>
            <w:r>
              <w:rPr>
                <w:rFonts w:ascii="宋体" w:hAnsi="宋体"/>
                <w:spacing w:val="-2"/>
                <w:sz w:val="21"/>
                <w:szCs w:val="21"/>
              </w:rPr>
              <w:t>4种弹型可在制暴器通用击发弹仓口使用</w:t>
            </w:r>
            <w:r>
              <w:rPr>
                <w:rFonts w:hint="eastAsia" w:ascii="宋体" w:hAnsi="宋体"/>
                <w:spacing w:val="-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32" w:type="dxa"/>
            <w:vAlign w:val="center"/>
          </w:tcPr>
          <w:p>
            <w:pPr>
              <w:spacing w:before="69" w:line="188" w:lineRule="auto"/>
              <w:jc w:val="center"/>
              <w:rPr>
                <w:rFonts w:ascii="宋体" w:hAnsi="宋体" w:eastAsia="Times New Roman" w:cs="Times New Roman"/>
                <w:sz w:val="21"/>
                <w:szCs w:val="21"/>
              </w:rPr>
            </w:pPr>
            <w:r>
              <w:rPr>
                <w:rFonts w:ascii="宋体" w:hAnsi="宋体" w:eastAsia="Times New Roman" w:cs="Times New Roman"/>
                <w:spacing w:val="-5"/>
                <w:sz w:val="21"/>
                <w:szCs w:val="21"/>
              </w:rPr>
              <w:t>3</w:t>
            </w:r>
          </w:p>
        </w:tc>
        <w:tc>
          <w:tcPr>
            <w:tcW w:w="10568" w:type="dxa"/>
            <w:vAlign w:val="top"/>
          </w:tcPr>
          <w:p>
            <w:pPr>
              <w:pStyle w:val="6"/>
              <w:spacing w:before="78" w:line="215" w:lineRule="auto"/>
              <w:rPr>
                <w:rFonts w:hint="eastAsia" w:ascii="宋体" w:hAnsi="宋体" w:eastAsia="仿宋"/>
                <w:sz w:val="21"/>
                <w:szCs w:val="21"/>
                <w:lang w:eastAsia="zh-CN"/>
              </w:rPr>
            </w:pPr>
            <w:r>
              <w:rPr>
                <w:rFonts w:hint="eastAsia" w:ascii="宋体" w:hAnsi="宋体"/>
                <w:spacing w:val="-2"/>
                <w:sz w:val="21"/>
                <w:szCs w:val="21"/>
                <w:lang w:val="en-US" w:eastAsia="zh-CN"/>
              </w:rPr>
              <w:t>重量</w:t>
            </w:r>
            <w:r>
              <w:rPr>
                <w:rFonts w:ascii="宋体" w:hAnsi="宋体"/>
                <w:spacing w:val="-2"/>
                <w:sz w:val="21"/>
                <w:szCs w:val="21"/>
              </w:rPr>
              <w:t>≤ 400g （含电池，不含弹体）</w:t>
            </w:r>
            <w:r>
              <w:rPr>
                <w:rFonts w:hint="eastAsia" w:ascii="宋体" w:hAnsi="宋体"/>
                <w:spacing w:val="-2"/>
                <w:sz w:val="21"/>
                <w:szCs w:val="21"/>
                <w:lang w:eastAsia="zh-CN"/>
              </w:rPr>
              <w:t>、</w:t>
            </w:r>
            <w:r>
              <w:rPr>
                <w:rFonts w:ascii="宋体" w:hAnsi="宋体"/>
                <w:spacing w:val="-1"/>
                <w:sz w:val="21"/>
                <w:szCs w:val="21"/>
              </w:rPr>
              <w:t>产品尺寸≤ 180mm*50mm*140mm（L*W*H）</w:t>
            </w:r>
            <w:r>
              <w:rPr>
                <w:rFonts w:hint="eastAsia" w:ascii="宋体" w:hAnsi="宋体"/>
                <w:spacing w:val="-1"/>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32" w:type="dxa"/>
            <w:vAlign w:val="center"/>
          </w:tcPr>
          <w:p>
            <w:pPr>
              <w:spacing w:before="69" w:line="185" w:lineRule="auto"/>
              <w:jc w:val="center"/>
              <w:rPr>
                <w:rFonts w:hint="eastAsia" w:ascii="宋体" w:hAnsi="宋体" w:eastAsia="宋体" w:cs="Times New Roman"/>
                <w:sz w:val="21"/>
                <w:szCs w:val="21"/>
                <w:lang w:eastAsia="zh-CN"/>
              </w:rPr>
            </w:pPr>
            <w:r>
              <w:rPr>
                <w:rFonts w:hint="eastAsia" w:ascii="宋体" w:hAnsi="宋体" w:eastAsia="宋体" w:cs="Times New Roman"/>
                <w:spacing w:val="-6"/>
                <w:sz w:val="21"/>
                <w:szCs w:val="21"/>
                <w:lang w:val="en-US" w:eastAsia="zh-CN"/>
              </w:rPr>
              <w:t>4</w:t>
            </w:r>
          </w:p>
        </w:tc>
        <w:tc>
          <w:tcPr>
            <w:tcW w:w="10568" w:type="dxa"/>
            <w:vAlign w:val="top"/>
          </w:tcPr>
          <w:p>
            <w:pPr>
              <w:pStyle w:val="6"/>
              <w:spacing w:before="63" w:line="267" w:lineRule="auto"/>
              <w:ind w:right="103"/>
              <w:jc w:val="both"/>
              <w:rPr>
                <w:rFonts w:hint="eastAsia" w:ascii="宋体" w:hAnsi="宋体" w:eastAsia="仿宋"/>
                <w:sz w:val="21"/>
                <w:szCs w:val="21"/>
                <w:lang w:eastAsia="zh-CN"/>
              </w:rPr>
            </w:pPr>
            <w:r>
              <w:rPr>
                <w:rFonts w:hint="eastAsia" w:ascii="宋体" w:hAnsi="宋体"/>
                <w:sz w:val="21"/>
                <w:szCs w:val="21"/>
                <w:lang w:val="en-US" w:eastAsia="zh-CN"/>
              </w:rPr>
              <w:t>▲</w:t>
            </w:r>
            <w:r>
              <w:rPr>
                <w:rFonts w:ascii="宋体" w:hAnsi="宋体"/>
                <w:spacing w:val="-4"/>
                <w:sz w:val="21"/>
                <w:szCs w:val="21"/>
              </w:rPr>
              <w:t>具备弹体检测功能，制暴器装入匹配弹体后，屏幕应能自动显示对应弹种文字名</w:t>
            </w:r>
            <w:r>
              <w:rPr>
                <w:rFonts w:ascii="宋体" w:hAnsi="宋体"/>
                <w:sz w:val="21"/>
                <w:szCs w:val="21"/>
              </w:rPr>
              <w:t>称</w:t>
            </w:r>
            <w:r>
              <w:rPr>
                <w:rFonts w:hint="eastAsia" w:ascii="宋体" w:hAnsi="宋体"/>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32" w:type="dxa"/>
            <w:vAlign w:val="center"/>
          </w:tcPr>
          <w:p>
            <w:pPr>
              <w:spacing w:before="69" w:line="188" w:lineRule="auto"/>
              <w:jc w:val="center"/>
              <w:rPr>
                <w:rFonts w:hint="eastAsia" w:ascii="宋体" w:hAnsi="宋体" w:eastAsia="宋体" w:cs="Times New Roman"/>
                <w:sz w:val="21"/>
                <w:szCs w:val="21"/>
                <w:lang w:eastAsia="zh-CN"/>
              </w:rPr>
            </w:pPr>
            <w:r>
              <w:rPr>
                <w:rFonts w:hint="eastAsia" w:ascii="宋体" w:hAnsi="宋体" w:eastAsia="宋体" w:cs="Times New Roman"/>
                <w:spacing w:val="-6"/>
                <w:sz w:val="21"/>
                <w:szCs w:val="21"/>
                <w:lang w:val="en-US" w:eastAsia="zh-CN"/>
              </w:rPr>
              <w:t>5</w:t>
            </w:r>
          </w:p>
        </w:tc>
        <w:tc>
          <w:tcPr>
            <w:tcW w:w="10568"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2" w:line="216" w:lineRule="auto"/>
              <w:ind w:right="102"/>
              <w:textAlignment w:val="baseline"/>
              <w:rPr>
                <w:rFonts w:ascii="宋体" w:hAnsi="宋体"/>
                <w:sz w:val="21"/>
                <w:szCs w:val="21"/>
              </w:rPr>
            </w:pPr>
            <w:r>
              <w:rPr>
                <w:rFonts w:ascii="宋体" w:hAnsi="宋体"/>
                <w:spacing w:val="-4"/>
                <w:sz w:val="21"/>
                <w:szCs w:val="21"/>
              </w:rPr>
              <w:t>具备电击过放保护功能，在多次击发后</w:t>
            </w:r>
            <w:r>
              <w:rPr>
                <w:rFonts w:ascii="宋体" w:hAnsi="宋体"/>
                <w:spacing w:val="9"/>
                <w:sz w:val="21"/>
                <w:szCs w:val="21"/>
              </w:rPr>
              <w:t xml:space="preserve"> </w:t>
            </w:r>
            <w:r>
              <w:rPr>
                <w:rFonts w:ascii="宋体" w:hAnsi="宋体"/>
                <w:spacing w:val="-4"/>
                <w:sz w:val="21"/>
                <w:szCs w:val="21"/>
              </w:rPr>
              <w:t>强制锁定设备放电功能。电击弹击发后</w:t>
            </w:r>
            <w:r>
              <w:rPr>
                <w:rFonts w:hint="eastAsia" w:ascii="宋体" w:hAnsi="宋体"/>
                <w:spacing w:val="-4"/>
                <w:sz w:val="21"/>
                <w:szCs w:val="21"/>
                <w:lang w:eastAsia="zh-CN"/>
              </w:rPr>
              <w:t>，</w:t>
            </w:r>
            <w:r>
              <w:rPr>
                <w:rFonts w:ascii="宋体" w:hAnsi="宋体"/>
                <w:spacing w:val="-2"/>
                <w:sz w:val="21"/>
                <w:szCs w:val="21"/>
              </w:rPr>
              <w:t>最多可连续进行</w:t>
            </w:r>
            <w:r>
              <w:rPr>
                <w:rFonts w:ascii="宋体" w:hAnsi="宋体"/>
                <w:spacing w:val="-30"/>
                <w:sz w:val="21"/>
                <w:szCs w:val="21"/>
              </w:rPr>
              <w:t xml:space="preserve"> </w:t>
            </w:r>
            <w:r>
              <w:rPr>
                <w:rFonts w:ascii="宋体" w:hAnsi="宋体"/>
                <w:spacing w:val="-2"/>
                <w:sz w:val="21"/>
                <w:szCs w:val="21"/>
              </w:rPr>
              <w:t>10</w:t>
            </w:r>
            <w:r>
              <w:rPr>
                <w:rFonts w:ascii="宋体" w:hAnsi="宋体"/>
                <w:spacing w:val="-39"/>
                <w:sz w:val="21"/>
                <w:szCs w:val="21"/>
              </w:rPr>
              <w:t xml:space="preserve"> </w:t>
            </w:r>
            <w:r>
              <w:rPr>
                <w:rFonts w:ascii="宋体" w:hAnsi="宋体"/>
                <w:spacing w:val="-2"/>
                <w:sz w:val="21"/>
                <w:szCs w:val="21"/>
              </w:rPr>
              <w:t>次、每次</w:t>
            </w:r>
            <w:r>
              <w:rPr>
                <w:rFonts w:ascii="宋体" w:hAnsi="宋体"/>
                <w:spacing w:val="-42"/>
                <w:sz w:val="21"/>
                <w:szCs w:val="21"/>
              </w:rPr>
              <w:t xml:space="preserve"> </w:t>
            </w:r>
            <w:r>
              <w:rPr>
                <w:rFonts w:ascii="宋体" w:hAnsi="宋体"/>
                <w:spacing w:val="-2"/>
                <w:sz w:val="21"/>
                <w:szCs w:val="21"/>
              </w:rPr>
              <w:t>5</w:t>
            </w:r>
            <w:r>
              <w:rPr>
                <w:rFonts w:ascii="宋体" w:hAnsi="宋体"/>
                <w:spacing w:val="-38"/>
                <w:sz w:val="21"/>
                <w:szCs w:val="21"/>
              </w:rPr>
              <w:t xml:space="preserve"> </w:t>
            </w:r>
            <w:r>
              <w:rPr>
                <w:rFonts w:ascii="宋体" w:hAnsi="宋体"/>
                <w:spacing w:val="-2"/>
                <w:sz w:val="21"/>
                <w:szCs w:val="21"/>
              </w:rPr>
              <w:t>秒的放电</w:t>
            </w:r>
            <w:r>
              <w:rPr>
                <w:rFonts w:ascii="宋体" w:hAnsi="宋体"/>
                <w:sz w:val="21"/>
                <w:szCs w:val="21"/>
              </w:rPr>
              <w:t xml:space="preserve"> </w:t>
            </w:r>
            <w:r>
              <w:rPr>
                <w:rFonts w:ascii="宋体" w:hAnsi="宋体"/>
                <w:spacing w:val="-4"/>
                <w:sz w:val="21"/>
                <w:szCs w:val="21"/>
              </w:rPr>
              <w:t>输出，之后设备将进入保护状态，锁定放</w:t>
            </w:r>
            <w:r>
              <w:rPr>
                <w:rFonts w:ascii="宋体" w:hAnsi="宋体"/>
                <w:spacing w:val="7"/>
                <w:sz w:val="21"/>
                <w:szCs w:val="21"/>
              </w:rPr>
              <w:t xml:space="preserve"> </w:t>
            </w:r>
            <w:r>
              <w:rPr>
                <w:rFonts w:ascii="宋体" w:hAnsi="宋体"/>
                <w:spacing w:val="-7"/>
                <w:sz w:val="21"/>
                <w:szCs w:val="21"/>
              </w:rPr>
              <w:t>电功能</w:t>
            </w:r>
            <w:r>
              <w:rPr>
                <w:rFonts w:ascii="宋体" w:hAnsi="宋体"/>
                <w:spacing w:val="-49"/>
                <w:sz w:val="21"/>
                <w:szCs w:val="21"/>
              </w:rPr>
              <w:t xml:space="preserve"> </w:t>
            </w:r>
            <w:r>
              <w:rPr>
                <w:rFonts w:ascii="宋体" w:hAnsi="宋体"/>
                <w:spacing w:val="-7"/>
                <w:sz w:val="21"/>
                <w:szCs w:val="21"/>
              </w:rPr>
              <w:t>2</w:t>
            </w:r>
            <w:r>
              <w:rPr>
                <w:rFonts w:ascii="宋体" w:hAnsi="宋体"/>
                <w:spacing w:val="-41"/>
                <w:sz w:val="21"/>
                <w:szCs w:val="21"/>
              </w:rPr>
              <w:t xml:space="preserve"> </w:t>
            </w:r>
            <w:r>
              <w:rPr>
                <w:rFonts w:ascii="宋体" w:hAnsi="宋体"/>
                <w:spacing w:val="-7"/>
                <w:sz w:val="21"/>
                <w:szCs w:val="21"/>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32" w:type="dxa"/>
            <w:vAlign w:val="center"/>
          </w:tcPr>
          <w:p>
            <w:pPr>
              <w:spacing w:before="69" w:line="185" w:lineRule="auto"/>
              <w:jc w:val="center"/>
              <w:rPr>
                <w:rFonts w:hint="eastAsia" w:ascii="宋体" w:hAnsi="宋体" w:eastAsia="宋体" w:cs="Times New Roman"/>
                <w:sz w:val="21"/>
                <w:szCs w:val="21"/>
                <w:lang w:eastAsia="zh-CN"/>
              </w:rPr>
            </w:pPr>
            <w:r>
              <w:rPr>
                <w:rFonts w:hint="eastAsia" w:ascii="宋体" w:hAnsi="宋体" w:eastAsia="宋体" w:cs="Times New Roman"/>
                <w:spacing w:val="-5"/>
                <w:sz w:val="21"/>
                <w:szCs w:val="21"/>
                <w:lang w:val="en-US" w:eastAsia="zh-CN"/>
              </w:rPr>
              <w:t>6</w:t>
            </w:r>
          </w:p>
        </w:tc>
        <w:tc>
          <w:tcPr>
            <w:tcW w:w="10568" w:type="dxa"/>
            <w:vAlign w:val="top"/>
          </w:tcPr>
          <w:p>
            <w:pPr>
              <w:pStyle w:val="6"/>
              <w:spacing w:before="62" w:line="272" w:lineRule="auto"/>
              <w:ind w:right="103"/>
              <w:rPr>
                <w:rFonts w:hint="eastAsia" w:ascii="宋体" w:hAnsi="宋体" w:eastAsia="仿宋"/>
                <w:spacing w:val="-4"/>
                <w:sz w:val="21"/>
                <w:szCs w:val="21"/>
                <w:lang w:eastAsia="zh-CN"/>
              </w:rPr>
            </w:pPr>
            <w:r>
              <w:rPr>
                <w:rFonts w:ascii="宋体" w:hAnsi="宋体"/>
                <w:spacing w:val="-4"/>
                <w:sz w:val="21"/>
                <w:szCs w:val="21"/>
              </w:rPr>
              <w:t>制暴器有准星机械瞄准与激光辅助瞄准 2 种瞄准模式</w:t>
            </w:r>
            <w:r>
              <w:rPr>
                <w:rFonts w:hint="eastAsia" w:ascii="宋体" w:hAnsi="宋体"/>
                <w:spacing w:val="-4"/>
                <w:sz w:val="21"/>
                <w:szCs w:val="21"/>
                <w:lang w:eastAsia="zh-CN"/>
              </w:rPr>
              <w:t>，</w:t>
            </w:r>
            <w:r>
              <w:rPr>
                <w:rFonts w:ascii="宋体" w:hAnsi="宋体"/>
                <w:spacing w:val="-4"/>
                <w:sz w:val="21"/>
                <w:szCs w:val="21"/>
              </w:rPr>
              <w:t>制暴器在使用时，激光为频闪状态，可对目标视觉进行干扰</w:t>
            </w:r>
            <w:r>
              <w:rPr>
                <w:rFonts w:hint="eastAsia" w:ascii="宋体" w:hAnsi="宋体"/>
                <w:spacing w:val="-4"/>
                <w:sz w:val="21"/>
                <w:szCs w:val="21"/>
                <w:lang w:eastAsia="zh-CN"/>
              </w:rPr>
              <w:t>，</w:t>
            </w:r>
            <w:r>
              <w:rPr>
                <w:rFonts w:ascii="宋体" w:hAnsi="宋体"/>
                <w:spacing w:val="-4"/>
                <w:sz w:val="21"/>
                <w:szCs w:val="21"/>
              </w:rPr>
              <w:t>制暴器激光可独立控制其开启与关闭，适应不同作战场景</w:t>
            </w:r>
            <w:r>
              <w:rPr>
                <w:rFonts w:hint="eastAsia" w:ascii="宋体" w:hAnsi="宋体"/>
                <w:spacing w:val="-4"/>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32" w:type="dxa"/>
            <w:shd w:val="clear" w:color="auto" w:fill="auto"/>
            <w:vAlign w:val="center"/>
          </w:tcPr>
          <w:p>
            <w:pPr>
              <w:pStyle w:val="6"/>
              <w:spacing w:before="62" w:line="272" w:lineRule="auto"/>
              <w:ind w:right="103"/>
              <w:jc w:val="center"/>
              <w:rPr>
                <w:rFonts w:hint="eastAsia" w:ascii="宋体" w:hAnsi="宋体" w:eastAsia="仿宋"/>
                <w:spacing w:val="-4"/>
                <w:sz w:val="21"/>
                <w:szCs w:val="21"/>
                <w:lang w:val="en-US" w:eastAsia="zh-CN"/>
              </w:rPr>
            </w:pPr>
            <w:r>
              <w:rPr>
                <w:rFonts w:hint="eastAsia" w:ascii="宋体" w:hAnsi="宋体"/>
                <w:spacing w:val="-4"/>
                <w:sz w:val="21"/>
                <w:szCs w:val="21"/>
                <w:lang w:val="en-US" w:eastAsia="zh-CN"/>
              </w:rPr>
              <w:t>7</w:t>
            </w:r>
          </w:p>
        </w:tc>
        <w:tc>
          <w:tcPr>
            <w:tcW w:w="10568" w:type="dxa"/>
            <w:shd w:val="clear" w:color="auto" w:fill="auto"/>
            <w:vAlign w:val="top"/>
          </w:tcPr>
          <w:p>
            <w:pPr>
              <w:pStyle w:val="6"/>
              <w:spacing w:before="62" w:line="272" w:lineRule="auto"/>
              <w:ind w:right="103"/>
              <w:rPr>
                <w:rFonts w:ascii="宋体" w:hAnsi="宋体"/>
                <w:spacing w:val="-4"/>
                <w:sz w:val="21"/>
                <w:szCs w:val="21"/>
                <w:lang w:val="en-US" w:eastAsia="en-US"/>
              </w:rPr>
            </w:pPr>
            <w:r>
              <w:rPr>
                <w:rFonts w:hint="eastAsia" w:ascii="宋体" w:hAnsi="宋体"/>
                <w:sz w:val="21"/>
                <w:szCs w:val="21"/>
                <w:lang w:val="en-US" w:eastAsia="zh-CN"/>
              </w:rPr>
              <w:t>▲</w:t>
            </w:r>
            <w:r>
              <w:rPr>
                <w:rFonts w:ascii="宋体" w:hAnsi="宋体"/>
                <w:spacing w:val="-4"/>
                <w:sz w:val="21"/>
                <w:szCs w:val="21"/>
              </w:rPr>
              <w:t>制暴器可单手退弹，便于提升紧急环境下的换弹速度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eastAsia" w:ascii="宋体" w:hAnsi="宋体" w:eastAsia="仿宋"/>
                <w:spacing w:val="-4"/>
                <w:sz w:val="21"/>
                <w:szCs w:val="21"/>
                <w:lang w:val="en-US" w:eastAsia="zh-CN"/>
              </w:rPr>
            </w:pPr>
            <w:r>
              <w:rPr>
                <w:rFonts w:hint="eastAsia" w:ascii="宋体" w:hAnsi="宋体"/>
                <w:spacing w:val="-4"/>
                <w:sz w:val="21"/>
                <w:szCs w:val="21"/>
                <w:lang w:val="en-US" w:eastAsia="zh-CN"/>
              </w:rPr>
              <w:t>8</w:t>
            </w:r>
          </w:p>
        </w:tc>
        <w:tc>
          <w:tcPr>
            <w:tcW w:w="10568" w:type="dxa"/>
            <w:shd w:val="clear" w:color="auto" w:fill="auto"/>
            <w:vAlign w:val="top"/>
          </w:tcPr>
          <w:p>
            <w:pPr>
              <w:pStyle w:val="6"/>
              <w:spacing w:before="61" w:line="268" w:lineRule="auto"/>
              <w:ind w:right="103" w:rightChars="0"/>
              <w:rPr>
                <w:rFonts w:ascii="宋体" w:hAnsi="宋体" w:eastAsia="仿宋" w:cs="仿宋"/>
                <w:snapToGrid w:val="0"/>
                <w:color w:val="000000"/>
                <w:kern w:val="0"/>
                <w:sz w:val="21"/>
                <w:szCs w:val="21"/>
                <w:lang w:val="en-US" w:eastAsia="en-US" w:bidi="ar-SA"/>
              </w:rPr>
            </w:pPr>
            <w:r>
              <w:rPr>
                <w:rFonts w:ascii="宋体" w:hAnsi="宋体"/>
                <w:spacing w:val="10"/>
                <w:sz w:val="21"/>
                <w:szCs w:val="21"/>
              </w:rPr>
              <w:t>制</w:t>
            </w:r>
            <w:r>
              <w:rPr>
                <w:rFonts w:ascii="宋体" w:hAnsi="宋体"/>
                <w:sz w:val="21"/>
                <w:szCs w:val="21"/>
              </w:rPr>
              <w:t>暴器具备手动控制切换的保险结构，可区分待机/关机状态（不可击发） 与可用状态（可击发</w:t>
            </w:r>
            <w:r>
              <w:rPr>
                <w:rFonts w:ascii="宋体" w:hAnsi="宋体"/>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32" w:type="dxa"/>
            <w:shd w:val="clear" w:color="auto" w:fill="auto"/>
            <w:vAlign w:val="center"/>
          </w:tcPr>
          <w:p>
            <w:pPr>
              <w:pStyle w:val="6"/>
              <w:spacing w:before="62" w:line="272" w:lineRule="auto"/>
              <w:ind w:right="103"/>
              <w:jc w:val="center"/>
              <w:rPr>
                <w:rFonts w:hint="eastAsia" w:ascii="宋体" w:hAnsi="宋体" w:eastAsia="仿宋"/>
                <w:spacing w:val="-4"/>
                <w:sz w:val="21"/>
                <w:szCs w:val="21"/>
                <w:lang w:val="en-US" w:eastAsia="zh-CN"/>
              </w:rPr>
            </w:pPr>
            <w:r>
              <w:rPr>
                <w:rFonts w:hint="eastAsia" w:ascii="宋体" w:hAnsi="宋体"/>
                <w:spacing w:val="-4"/>
                <w:sz w:val="21"/>
                <w:szCs w:val="21"/>
                <w:lang w:val="en-US" w:eastAsia="zh-CN"/>
              </w:rPr>
              <w:t>9</w:t>
            </w:r>
          </w:p>
        </w:tc>
        <w:tc>
          <w:tcPr>
            <w:tcW w:w="10568" w:type="dxa"/>
            <w:shd w:val="clear" w:color="auto" w:fill="auto"/>
            <w:vAlign w:val="top"/>
          </w:tcPr>
          <w:p>
            <w:pPr>
              <w:pStyle w:val="6"/>
              <w:spacing w:before="61" w:line="268" w:lineRule="auto"/>
              <w:ind w:right="103" w:rightChars="0"/>
              <w:rPr>
                <w:rFonts w:ascii="宋体" w:hAnsi="宋体"/>
                <w:spacing w:val="10"/>
                <w:sz w:val="21"/>
                <w:szCs w:val="21"/>
                <w:lang w:val="en-US" w:eastAsia="en-US"/>
              </w:rPr>
            </w:pPr>
            <w:r>
              <w:rPr>
                <w:rFonts w:ascii="宋体" w:hAnsi="宋体"/>
                <w:spacing w:val="10"/>
                <w:sz w:val="21"/>
                <w:szCs w:val="21"/>
              </w:rPr>
              <w:t>制暴器左右手持设备时，均可对挡位进行切换，不受影响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10</w:t>
            </w:r>
          </w:p>
        </w:tc>
        <w:tc>
          <w:tcPr>
            <w:tcW w:w="10568" w:type="dxa"/>
            <w:shd w:val="clear" w:color="auto" w:fill="auto"/>
            <w:vAlign w:val="top"/>
          </w:tcPr>
          <w:p>
            <w:pPr>
              <w:pStyle w:val="6"/>
              <w:spacing w:before="78" w:line="263" w:lineRule="auto"/>
              <w:ind w:right="37" w:rightChars="0"/>
              <w:rPr>
                <w:rFonts w:ascii="宋体" w:hAnsi="宋体" w:eastAsia="仿宋" w:cs="仿宋"/>
                <w:snapToGrid w:val="0"/>
                <w:color w:val="000000"/>
                <w:kern w:val="0"/>
                <w:sz w:val="21"/>
                <w:szCs w:val="21"/>
                <w:lang w:val="en-US" w:eastAsia="en-US" w:bidi="ar-SA"/>
              </w:rPr>
            </w:pPr>
            <w:r>
              <w:rPr>
                <w:rFonts w:hint="eastAsia" w:ascii="宋体" w:hAnsi="宋体"/>
                <w:sz w:val="21"/>
                <w:szCs w:val="21"/>
                <w:lang w:val="en-US" w:eastAsia="zh-CN"/>
              </w:rPr>
              <w:t>▲</w:t>
            </w:r>
            <w:r>
              <w:rPr>
                <w:rFonts w:ascii="宋体" w:hAnsi="宋体"/>
                <w:spacing w:val="-4"/>
                <w:sz w:val="21"/>
                <w:szCs w:val="21"/>
              </w:rPr>
              <w:t>制暴器有屏幕状态显示功能，可显示</w:t>
            </w:r>
            <w:r>
              <w:rPr>
                <w:rFonts w:ascii="宋体" w:hAnsi="宋体"/>
                <w:spacing w:val="-13"/>
                <w:sz w:val="21"/>
                <w:szCs w:val="21"/>
              </w:rPr>
              <w:t>制暴器待机、电量、弹体检测等相关信息，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11</w:t>
            </w:r>
          </w:p>
        </w:tc>
        <w:tc>
          <w:tcPr>
            <w:tcW w:w="10568" w:type="dxa"/>
            <w:shd w:val="clear" w:color="auto" w:fill="auto"/>
            <w:vAlign w:val="top"/>
          </w:tcPr>
          <w:p>
            <w:pPr>
              <w:pStyle w:val="6"/>
              <w:spacing w:before="78" w:line="263" w:lineRule="auto"/>
              <w:ind w:right="37" w:rightChars="0"/>
              <w:rPr>
                <w:rFonts w:ascii="宋体" w:hAnsi="宋体"/>
                <w:spacing w:val="-4"/>
                <w:sz w:val="21"/>
                <w:szCs w:val="21"/>
                <w:lang w:val="en-US" w:eastAsia="en-US"/>
              </w:rPr>
            </w:pPr>
            <w:r>
              <w:rPr>
                <w:rFonts w:ascii="宋体" w:hAnsi="宋体"/>
                <w:spacing w:val="-4"/>
                <w:sz w:val="21"/>
                <w:szCs w:val="21"/>
              </w:rPr>
              <w:t>制暴器有电量显示功能，电量低于 30%有电量提示功能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12</w:t>
            </w:r>
          </w:p>
        </w:tc>
        <w:tc>
          <w:tcPr>
            <w:tcW w:w="10568" w:type="dxa"/>
            <w:shd w:val="clear" w:color="auto" w:fill="auto"/>
            <w:vAlign w:val="top"/>
          </w:tcPr>
          <w:p>
            <w:pPr>
              <w:pStyle w:val="6"/>
              <w:spacing w:before="67" w:line="267" w:lineRule="auto"/>
              <w:ind w:right="103" w:rightChars="0"/>
              <w:jc w:val="both"/>
              <w:rPr>
                <w:rFonts w:ascii="宋体" w:hAnsi="宋体" w:eastAsia="仿宋" w:cs="仿宋"/>
                <w:snapToGrid w:val="0"/>
                <w:color w:val="000000"/>
                <w:kern w:val="0"/>
                <w:sz w:val="21"/>
                <w:szCs w:val="21"/>
                <w:lang w:val="en-US" w:eastAsia="en-US" w:bidi="ar-SA"/>
              </w:rPr>
            </w:pPr>
            <w:r>
              <w:rPr>
                <w:rFonts w:ascii="宋体" w:hAnsi="宋体"/>
                <w:spacing w:val="-4"/>
                <w:sz w:val="21"/>
                <w:szCs w:val="21"/>
              </w:rPr>
              <w:t>制暴器扳机扣动过程中，击发前扳机</w:t>
            </w:r>
            <w:r>
              <w:rPr>
                <w:rFonts w:ascii="宋体" w:hAnsi="宋体"/>
                <w:spacing w:val="4"/>
                <w:sz w:val="21"/>
                <w:szCs w:val="21"/>
              </w:rPr>
              <w:t xml:space="preserve"> </w:t>
            </w:r>
            <w:r>
              <w:rPr>
                <w:rFonts w:ascii="宋体" w:hAnsi="宋体"/>
                <w:spacing w:val="-4"/>
                <w:sz w:val="21"/>
                <w:szCs w:val="21"/>
              </w:rPr>
              <w:t>有明显阻断反馈，提示使用人员击发防止</w:t>
            </w:r>
            <w:r>
              <w:rPr>
                <w:rFonts w:ascii="宋体" w:hAnsi="宋体"/>
                <w:spacing w:val="-7"/>
                <w:sz w:val="21"/>
                <w:szCs w:val="21"/>
              </w:rPr>
              <w:t>走火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13</w:t>
            </w:r>
          </w:p>
        </w:tc>
        <w:tc>
          <w:tcPr>
            <w:tcW w:w="10568" w:type="dxa"/>
            <w:shd w:val="clear" w:color="auto" w:fill="auto"/>
            <w:vAlign w:val="top"/>
          </w:tcPr>
          <w:p>
            <w:pPr>
              <w:pStyle w:val="6"/>
              <w:spacing w:before="67" w:line="267" w:lineRule="auto"/>
              <w:ind w:right="103" w:rightChars="0"/>
              <w:jc w:val="both"/>
              <w:rPr>
                <w:rFonts w:ascii="宋体" w:hAnsi="宋体" w:eastAsia="仿宋" w:cs="仿宋"/>
                <w:snapToGrid w:val="0"/>
                <w:color w:val="000000"/>
                <w:spacing w:val="-4"/>
                <w:kern w:val="0"/>
                <w:sz w:val="21"/>
                <w:szCs w:val="21"/>
                <w:lang w:val="en-US" w:eastAsia="en-US" w:bidi="ar-SA"/>
              </w:rPr>
            </w:pPr>
            <w:r>
              <w:rPr>
                <w:rFonts w:hint="eastAsia" w:ascii="宋体" w:hAnsi="宋体"/>
                <w:sz w:val="21"/>
                <w:szCs w:val="21"/>
                <w:lang w:val="en-US" w:eastAsia="zh-CN"/>
              </w:rPr>
              <w:t>▲</w:t>
            </w:r>
            <w:r>
              <w:rPr>
                <w:rFonts w:ascii="宋体" w:hAnsi="宋体"/>
                <w:spacing w:val="-4"/>
                <w:sz w:val="21"/>
                <w:szCs w:val="21"/>
              </w:rPr>
              <w:t>制暴器具备音视频录制功能（非外挂式）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14</w:t>
            </w:r>
          </w:p>
        </w:tc>
        <w:tc>
          <w:tcPr>
            <w:tcW w:w="10568" w:type="dxa"/>
            <w:shd w:val="clear" w:color="auto" w:fill="auto"/>
            <w:vAlign w:val="top"/>
          </w:tcPr>
          <w:p>
            <w:pPr>
              <w:pStyle w:val="6"/>
              <w:spacing w:before="67" w:line="267" w:lineRule="auto"/>
              <w:ind w:right="103" w:rightChars="0"/>
              <w:jc w:val="both"/>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制暴器音视频录制 分辨率：≥2K （2560*1440）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15</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16"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hint="eastAsia" w:ascii="宋体" w:hAnsi="宋体"/>
                <w:sz w:val="21"/>
                <w:szCs w:val="21"/>
                <w:lang w:val="en-US" w:eastAsia="zh-CN"/>
              </w:rPr>
              <w:t>▲</w:t>
            </w:r>
            <w:r>
              <w:rPr>
                <w:rFonts w:ascii="宋体" w:hAnsi="宋体"/>
                <w:spacing w:val="-4"/>
                <w:sz w:val="21"/>
                <w:szCs w:val="21"/>
              </w:rPr>
              <w:t>拔出枪套时自动开机（激光瞄准和录像功能同时启动），放入枪套时 自动关机， 自动开关机功能可设置为关闭</w:t>
            </w:r>
            <w:r>
              <w:rPr>
                <w:rFonts w:hint="eastAsia" w:ascii="宋体" w:hAnsi="宋体"/>
                <w:spacing w:val="-4"/>
                <w:sz w:val="21"/>
                <w:szCs w:val="21"/>
                <w:lang w:eastAsia="zh-CN"/>
              </w:rPr>
              <w:t>；</w:t>
            </w:r>
            <w:r>
              <w:rPr>
                <w:rFonts w:ascii="宋体" w:hAnsi="宋体"/>
                <w:spacing w:val="-4"/>
                <w:sz w:val="21"/>
                <w:szCs w:val="21"/>
              </w:rPr>
              <w:t>制暴器在保险关闭状态装入枪套，需有声音提示。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16</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40"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制暴器枪套上具有枪纲装置和枪套锁（枪套至少具备二级锁）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17</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40"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制暴器具有配套弹体均可使用的弹套，并有辅助从其中取弹的装置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18</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40"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制暴器在开机状态下，静置</w:t>
            </w:r>
            <w:r>
              <w:rPr>
                <w:rFonts w:hint="eastAsia" w:ascii="宋体" w:hAnsi="宋体"/>
                <w:spacing w:val="-4"/>
                <w:sz w:val="21"/>
                <w:szCs w:val="21"/>
                <w:lang w:val="en-US" w:eastAsia="zh-CN"/>
              </w:rPr>
              <w:t>30s</w:t>
            </w:r>
            <w:r>
              <w:rPr>
                <w:rFonts w:ascii="宋体" w:hAnsi="宋体"/>
                <w:spacing w:val="-4"/>
                <w:sz w:val="21"/>
                <w:szCs w:val="21"/>
              </w:rPr>
              <w:t>后进入待机模式。待机状态激光、屏幕和执法记录摄像头自动关闭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19</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40"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hint="eastAsia" w:ascii="宋体" w:hAnsi="宋体"/>
                <w:sz w:val="21"/>
                <w:szCs w:val="21"/>
                <w:lang w:val="en-US" w:eastAsia="zh-CN"/>
              </w:rPr>
              <w:t>▲</w:t>
            </w:r>
            <w:r>
              <w:rPr>
                <w:rFonts w:ascii="宋体" w:hAnsi="宋体"/>
                <w:spacing w:val="-4"/>
                <w:sz w:val="21"/>
                <w:szCs w:val="21"/>
              </w:rPr>
              <w:t>通过USB 口连接电脑可以读取设备击发使用日志，内容包括时间、弹型、弹序号、相应使用次数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20</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40" w:lineRule="auto"/>
              <w:ind w:right="102" w:rightChars="0"/>
              <w:jc w:val="both"/>
              <w:textAlignment w:val="baseline"/>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可通过 Type-C 口对设备进行充电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21</w:t>
            </w:r>
          </w:p>
        </w:tc>
        <w:tc>
          <w:tcPr>
            <w:tcW w:w="10568" w:type="dxa"/>
            <w:shd w:val="clear" w:color="auto" w:fill="auto"/>
            <w:vAlign w:val="top"/>
          </w:tcPr>
          <w:p>
            <w:pPr>
              <w:pStyle w:val="6"/>
              <w:spacing w:before="67" w:line="267" w:lineRule="auto"/>
              <w:ind w:right="103" w:rightChars="0"/>
              <w:jc w:val="both"/>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满足 GB/T 4208-2017《外壳防护等 级（IP 代码）》标准对应 IPX5 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eastAsia="仿宋"/>
                <w:spacing w:val="-4"/>
                <w:sz w:val="21"/>
                <w:szCs w:val="21"/>
                <w:lang w:val="en-US" w:eastAsia="zh-CN"/>
              </w:rPr>
            </w:pPr>
            <w:r>
              <w:rPr>
                <w:rFonts w:hint="eastAsia" w:ascii="宋体" w:hAnsi="宋体"/>
                <w:spacing w:val="-4"/>
                <w:sz w:val="21"/>
                <w:szCs w:val="21"/>
                <w:lang w:val="en-US" w:eastAsia="zh-CN"/>
              </w:rPr>
              <w:t>22</w:t>
            </w:r>
          </w:p>
        </w:tc>
        <w:tc>
          <w:tcPr>
            <w:tcW w:w="10568" w:type="dxa"/>
            <w:shd w:val="clear" w:color="auto" w:fill="auto"/>
            <w:vAlign w:val="top"/>
          </w:tcPr>
          <w:p>
            <w:pPr>
              <w:pStyle w:val="6"/>
              <w:spacing w:before="67" w:line="267" w:lineRule="auto"/>
              <w:ind w:right="103" w:rightChars="0"/>
              <w:jc w:val="both"/>
              <w:rPr>
                <w:rFonts w:ascii="宋体" w:hAnsi="宋体" w:eastAsia="仿宋" w:cs="仿宋"/>
                <w:snapToGrid w:val="0"/>
                <w:color w:val="000000"/>
                <w:spacing w:val="-4"/>
                <w:kern w:val="0"/>
                <w:sz w:val="21"/>
                <w:szCs w:val="21"/>
                <w:lang w:val="en-US" w:eastAsia="en-US" w:bidi="ar-SA"/>
              </w:rPr>
            </w:pPr>
            <w:r>
              <w:rPr>
                <w:rFonts w:ascii="宋体" w:hAnsi="宋体"/>
                <w:spacing w:val="-4"/>
                <w:sz w:val="21"/>
                <w:szCs w:val="21"/>
              </w:rPr>
              <w:t>满足 GJB150.9A-2009 第 9 部分温 湿度量值并循环两个周期（48h）的标准要求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23</w:t>
            </w:r>
          </w:p>
        </w:tc>
        <w:tc>
          <w:tcPr>
            <w:tcW w:w="10568" w:type="dxa"/>
            <w:shd w:val="clear" w:color="auto" w:fill="auto"/>
            <w:vAlign w:val="top"/>
          </w:tcPr>
          <w:p>
            <w:pPr>
              <w:pStyle w:val="6"/>
              <w:spacing w:before="67" w:line="267" w:lineRule="auto"/>
              <w:ind w:right="103" w:rightChars="0"/>
              <w:jc w:val="both"/>
              <w:rPr>
                <w:rFonts w:ascii="宋体" w:hAnsi="宋体"/>
                <w:spacing w:val="-4"/>
                <w:sz w:val="21"/>
                <w:szCs w:val="21"/>
              </w:rPr>
            </w:pPr>
            <w:r>
              <w:rPr>
                <w:rFonts w:ascii="宋体" w:hAnsi="宋体"/>
                <w:spacing w:val="-4"/>
                <w:sz w:val="21"/>
                <w:szCs w:val="21"/>
              </w:rPr>
              <w:t>满足 GJB150.9A-2009 第 11 部分 试验条件，采用48h 喷盐雾的试验程序要求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24</w:t>
            </w:r>
          </w:p>
        </w:tc>
        <w:tc>
          <w:tcPr>
            <w:tcW w:w="10568" w:type="dxa"/>
            <w:shd w:val="clear" w:color="auto" w:fill="auto"/>
            <w:vAlign w:val="top"/>
          </w:tcPr>
          <w:p>
            <w:pPr>
              <w:pStyle w:val="6"/>
              <w:spacing w:before="67" w:line="267" w:lineRule="auto"/>
              <w:ind w:right="103" w:rightChars="0"/>
              <w:jc w:val="both"/>
              <w:rPr>
                <w:rFonts w:ascii="宋体" w:hAnsi="宋体"/>
                <w:spacing w:val="-4"/>
                <w:sz w:val="21"/>
                <w:szCs w:val="21"/>
              </w:rPr>
            </w:pPr>
            <w:r>
              <w:rPr>
                <w:rFonts w:hint="eastAsia" w:ascii="宋体" w:hAnsi="宋体"/>
                <w:sz w:val="21"/>
                <w:szCs w:val="21"/>
                <w:lang w:val="en-US" w:eastAsia="zh-CN"/>
              </w:rPr>
              <w:t>▲</w:t>
            </w:r>
            <w:r>
              <w:rPr>
                <w:rFonts w:ascii="宋体" w:hAnsi="宋体"/>
                <w:spacing w:val="-4"/>
                <w:sz w:val="21"/>
                <w:szCs w:val="21"/>
              </w:rPr>
              <w:t>产品购买产品责任险，提供有效期不少于 6 个月的保险保单,保额不低于 1000 万元</w:t>
            </w:r>
            <w:r>
              <w:rPr>
                <w:rFonts w:hint="eastAsia" w:ascii="宋体" w:hAnsi="宋体"/>
                <w:spacing w:val="-4"/>
                <w:sz w:val="21"/>
                <w:szCs w:val="21"/>
                <w:lang w:eastAsia="zh-CN"/>
              </w:rPr>
              <w:t>（</w:t>
            </w:r>
            <w:r>
              <w:rPr>
                <w:rFonts w:hint="eastAsia" w:ascii="宋体" w:hAnsi="宋体"/>
                <w:spacing w:val="-4"/>
                <w:sz w:val="21"/>
                <w:szCs w:val="21"/>
                <w:lang w:val="en-US" w:eastAsia="zh-CN"/>
              </w:rPr>
              <w:t>提供承诺函</w:t>
            </w:r>
            <w:r>
              <w:rPr>
                <w:rFonts w:hint="eastAsia" w:ascii="宋体" w:hAnsi="宋体"/>
                <w:spacing w:val="-4"/>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25</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16" w:lineRule="auto"/>
              <w:ind w:right="102" w:rightChars="0"/>
              <w:jc w:val="both"/>
              <w:textAlignment w:val="baseline"/>
              <w:rPr>
                <w:rFonts w:hint="eastAsia" w:ascii="宋体" w:hAnsi="宋体"/>
                <w:sz w:val="21"/>
                <w:szCs w:val="21"/>
                <w:lang w:val="en-US" w:eastAsia="zh-CN"/>
              </w:rPr>
            </w:pPr>
            <w:r>
              <w:rPr>
                <w:rFonts w:ascii="宋体" w:hAnsi="宋体"/>
                <w:spacing w:val="-4"/>
                <w:sz w:val="21"/>
                <w:szCs w:val="21"/>
                <w:lang w:val="en-US" w:eastAsia="zh-CN"/>
              </w:rPr>
              <w:t>电击弹</w:t>
            </w:r>
            <w:r>
              <w:rPr>
                <w:rFonts w:hint="eastAsia" w:ascii="宋体" w:hAnsi="宋体"/>
                <w:spacing w:val="-4"/>
                <w:sz w:val="21"/>
                <w:szCs w:val="21"/>
                <w:lang w:val="en-US" w:eastAsia="zh-CN"/>
              </w:rPr>
              <w:t>：</w:t>
            </w:r>
            <w:r>
              <w:rPr>
                <w:rFonts w:ascii="宋体" w:hAnsi="宋体"/>
                <w:spacing w:val="-4"/>
                <w:sz w:val="21"/>
                <w:szCs w:val="21"/>
                <w:lang w:val="en-US" w:eastAsia="zh-CN"/>
              </w:rPr>
              <w:t>弹体重量≤60g</w:t>
            </w:r>
            <w:r>
              <w:rPr>
                <w:rFonts w:hint="eastAsia" w:ascii="宋体" w:hAnsi="宋体"/>
                <w:spacing w:val="-4"/>
                <w:sz w:val="21"/>
                <w:szCs w:val="21"/>
                <w:lang w:eastAsia="zh-CN"/>
              </w:rPr>
              <w:t>；</w:t>
            </w:r>
            <w:r>
              <w:rPr>
                <w:rFonts w:ascii="宋体" w:hAnsi="宋体"/>
                <w:spacing w:val="-4"/>
                <w:sz w:val="21"/>
                <w:szCs w:val="21"/>
                <w:lang w:val="en-US" w:eastAsia="zh-CN"/>
              </w:rPr>
              <w:t>弹体尺寸≤40mm*40mm*60mm（L*W*H）</w:t>
            </w:r>
            <w:r>
              <w:rPr>
                <w:rFonts w:hint="eastAsia" w:ascii="宋体" w:hAnsi="宋体"/>
                <w:spacing w:val="-4"/>
                <w:sz w:val="21"/>
                <w:szCs w:val="21"/>
                <w:lang w:val="en-US" w:eastAsia="zh-CN"/>
              </w:rPr>
              <w:t>；</w:t>
            </w:r>
            <w:r>
              <w:rPr>
                <w:rFonts w:ascii="宋体" w:hAnsi="宋体"/>
                <w:spacing w:val="-4"/>
                <w:sz w:val="21"/>
                <w:szCs w:val="21"/>
                <w:lang w:val="en-US" w:eastAsia="zh-CN"/>
              </w:rPr>
              <w:t>电击弹最大射程：≥12m</w:t>
            </w:r>
            <w:r>
              <w:rPr>
                <w:rFonts w:hint="eastAsia" w:ascii="宋体" w:hAnsi="宋体"/>
                <w:spacing w:val="-4"/>
                <w:sz w:val="21"/>
                <w:szCs w:val="21"/>
                <w:lang w:eastAsia="zh-CN"/>
              </w:rPr>
              <w:t>；</w:t>
            </w:r>
            <w:r>
              <w:rPr>
                <w:rFonts w:ascii="宋体" w:hAnsi="宋体"/>
                <w:spacing w:val="-4"/>
                <w:sz w:val="21"/>
                <w:szCs w:val="21"/>
                <w:lang w:val="en-US" w:eastAsia="zh-CN"/>
              </w:rPr>
              <w:t>电击弹最大射程两个飞针落点宽度≤</w:t>
            </w:r>
            <w:r>
              <w:rPr>
                <w:rFonts w:hint="eastAsia" w:ascii="宋体" w:hAnsi="宋体"/>
                <w:spacing w:val="-4"/>
                <w:sz w:val="21"/>
                <w:szCs w:val="21"/>
                <w:lang w:val="en-US" w:eastAsia="zh-CN"/>
              </w:rPr>
              <w:t>45cm；</w:t>
            </w:r>
            <w:r>
              <w:rPr>
                <w:rFonts w:ascii="宋体" w:hAnsi="宋体"/>
                <w:spacing w:val="-4"/>
                <w:sz w:val="21"/>
                <w:szCs w:val="21"/>
                <w:lang w:val="en-US" w:eastAsia="zh-CN"/>
              </w:rPr>
              <w:t>输出电压检验≤6000V（负载 500Ω</w:t>
            </w:r>
            <w:r>
              <w:rPr>
                <w:rFonts w:hint="eastAsia" w:ascii="宋体" w:hAnsi="宋体"/>
                <w:spacing w:val="-4"/>
                <w:sz w:val="21"/>
                <w:szCs w:val="21"/>
                <w:lang w:val="en-US" w:eastAsia="zh-CN"/>
              </w:rPr>
              <w:t>和负载1000</w:t>
            </w:r>
            <w:r>
              <w:rPr>
                <w:rFonts w:hint="default" w:ascii="宋体" w:hAnsi="宋体"/>
                <w:spacing w:val="-4"/>
                <w:sz w:val="21"/>
                <w:szCs w:val="21"/>
                <w:lang w:val="en-US" w:eastAsia="zh-CN"/>
              </w:rPr>
              <w:t>Ω</w:t>
            </w:r>
            <w:r>
              <w:rPr>
                <w:rFonts w:hint="eastAsia" w:ascii="宋体" w:hAnsi="宋体"/>
                <w:spacing w:val="-4"/>
                <w:sz w:val="21"/>
                <w:szCs w:val="21"/>
                <w:lang w:val="en-US" w:eastAsia="zh-CN"/>
              </w:rPr>
              <w:t>）；</w:t>
            </w:r>
            <w:r>
              <w:rPr>
                <w:rFonts w:ascii="宋体" w:hAnsi="宋体"/>
                <w:spacing w:val="-4"/>
                <w:sz w:val="21"/>
                <w:szCs w:val="21"/>
                <w:lang w:val="en-US" w:eastAsia="zh-CN"/>
              </w:rPr>
              <w:t>平均电流：1.7～2.5 mA±0.2 mA（负载</w:t>
            </w:r>
            <w:r>
              <w:rPr>
                <w:rFonts w:hint="eastAsia" w:ascii="宋体" w:hAnsi="宋体"/>
                <w:spacing w:val="-4"/>
                <w:sz w:val="21"/>
                <w:szCs w:val="21"/>
                <w:lang w:val="en-US" w:eastAsia="zh-CN"/>
              </w:rPr>
              <w:t>500</w:t>
            </w:r>
            <w:r>
              <w:rPr>
                <w:rFonts w:ascii="宋体" w:hAnsi="宋体"/>
                <w:spacing w:val="-4"/>
                <w:sz w:val="21"/>
                <w:szCs w:val="21"/>
                <w:lang w:val="en-US" w:eastAsia="zh-CN"/>
              </w:rPr>
              <w:t>Ω</w:t>
            </w:r>
            <w:r>
              <w:rPr>
                <w:rFonts w:hint="eastAsia" w:ascii="宋体" w:hAnsi="宋体"/>
                <w:spacing w:val="-4"/>
                <w:sz w:val="21"/>
                <w:szCs w:val="21"/>
                <w:lang w:val="en-US" w:eastAsia="zh-CN"/>
              </w:rPr>
              <w:t>和负载 1000</w:t>
            </w:r>
            <w:r>
              <w:rPr>
                <w:rFonts w:hint="default" w:ascii="宋体" w:hAnsi="宋体"/>
                <w:spacing w:val="-4"/>
                <w:sz w:val="21"/>
                <w:szCs w:val="21"/>
                <w:lang w:val="en-US" w:eastAsia="zh-CN"/>
              </w:rPr>
              <w:t>Ω</w:t>
            </w:r>
            <w:r>
              <w:rPr>
                <w:rFonts w:hint="eastAsia" w:ascii="宋体" w:hAnsi="宋体"/>
                <w:spacing w:val="-4"/>
                <w:sz w:val="21"/>
                <w:szCs w:val="21"/>
                <w:lang w:val="en-US" w:eastAsia="zh-CN"/>
              </w:rPr>
              <w:t>）；</w:t>
            </w:r>
            <w:r>
              <w:rPr>
                <w:rFonts w:ascii="宋体" w:hAnsi="宋体"/>
                <w:spacing w:val="-4"/>
                <w:sz w:val="21"/>
                <w:szCs w:val="21"/>
                <w:lang w:val="en-US" w:eastAsia="zh-CN"/>
              </w:rPr>
              <w:t>单脉冲持续时间：250μ</w:t>
            </w:r>
            <w:r>
              <w:rPr>
                <w:rFonts w:hint="eastAsia" w:ascii="宋体" w:hAnsi="宋体"/>
                <w:spacing w:val="-4"/>
                <w:sz w:val="21"/>
                <w:szCs w:val="21"/>
                <w:lang w:val="en-US" w:eastAsia="zh-CN"/>
              </w:rPr>
              <w:t>s±10</w:t>
            </w:r>
            <w:r>
              <w:rPr>
                <w:rFonts w:hint="default" w:ascii="宋体" w:hAnsi="宋体"/>
                <w:spacing w:val="-4"/>
                <w:sz w:val="21"/>
                <w:szCs w:val="21"/>
                <w:lang w:val="en-US" w:eastAsia="zh-CN"/>
              </w:rPr>
              <w:t>μ</w:t>
            </w:r>
            <w:r>
              <w:rPr>
                <w:rFonts w:hint="eastAsia" w:ascii="宋体" w:hAnsi="宋体"/>
                <w:spacing w:val="-4"/>
                <w:sz w:val="21"/>
                <w:szCs w:val="21"/>
                <w:lang w:val="en-US" w:eastAsia="zh-CN"/>
              </w:rPr>
              <w:t>s（负载500</w:t>
            </w:r>
            <w:r>
              <w:rPr>
                <w:rFonts w:hint="default" w:ascii="宋体" w:hAnsi="宋体"/>
                <w:spacing w:val="-4"/>
                <w:sz w:val="21"/>
                <w:szCs w:val="21"/>
                <w:lang w:val="en-US" w:eastAsia="zh-CN"/>
              </w:rPr>
              <w:t>Ω</w:t>
            </w:r>
            <w:r>
              <w:rPr>
                <w:rFonts w:hint="eastAsia" w:ascii="宋体" w:hAnsi="宋体"/>
                <w:spacing w:val="-4"/>
                <w:sz w:val="21"/>
                <w:szCs w:val="21"/>
                <w:lang w:val="en-US" w:eastAsia="zh-CN"/>
              </w:rPr>
              <w:t>）；</w:t>
            </w:r>
            <w:r>
              <w:rPr>
                <w:rFonts w:ascii="宋体" w:hAnsi="宋体"/>
                <w:spacing w:val="-4"/>
                <w:sz w:val="21"/>
                <w:szCs w:val="21"/>
                <w:lang w:val="en-US" w:eastAsia="zh-CN"/>
              </w:rPr>
              <w:t>脉冲频率：15～20Hz（±1Hz）</w:t>
            </w:r>
            <w:r>
              <w:rPr>
                <w:rFonts w:hint="eastAsia" w:ascii="宋体" w:hAnsi="宋体"/>
                <w:spacing w:val="-4"/>
                <w:sz w:val="21"/>
                <w:szCs w:val="21"/>
                <w:lang w:val="en-US" w:eastAsia="zh-CN"/>
              </w:rPr>
              <w:t>；</w:t>
            </w:r>
            <w:r>
              <w:rPr>
                <w:rFonts w:ascii="宋体" w:hAnsi="宋体"/>
                <w:spacing w:val="-4"/>
                <w:sz w:val="21"/>
                <w:szCs w:val="21"/>
                <w:lang w:val="en-US" w:eastAsia="zh-CN"/>
              </w:rPr>
              <w:t>单次击发放电时间≤5s（±1s）</w:t>
            </w:r>
            <w:r>
              <w:rPr>
                <w:rFonts w:hint="eastAsia" w:ascii="宋体" w:hAnsi="宋体"/>
                <w:spacing w:val="-4"/>
                <w:sz w:val="21"/>
                <w:szCs w:val="21"/>
                <w:lang w:val="en-US" w:eastAsia="zh-CN"/>
              </w:rPr>
              <w:t>；6、</w:t>
            </w:r>
            <w:r>
              <w:rPr>
                <w:rFonts w:ascii="宋体" w:hAnsi="宋体"/>
                <w:spacing w:val="-4"/>
                <w:sz w:val="21"/>
                <w:szCs w:val="21"/>
                <w:lang w:val="en-US" w:eastAsia="zh-CN"/>
              </w:rPr>
              <w:t>电击弹导线抗拉强度≥3kg电击弹击发后击中目标后，电击弹口</w:t>
            </w:r>
            <w:r>
              <w:rPr>
                <w:rFonts w:hint="eastAsia" w:ascii="宋体" w:hAnsi="宋体"/>
                <w:spacing w:val="-4"/>
                <w:sz w:val="21"/>
                <w:szCs w:val="21"/>
                <w:lang w:val="en-US" w:eastAsia="zh-CN"/>
              </w:rPr>
              <w:t>与飞针之间的导线无短路，无电弧击穿现象。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26</w:t>
            </w:r>
          </w:p>
        </w:tc>
        <w:tc>
          <w:tcPr>
            <w:tcW w:w="10568" w:type="dxa"/>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67" w:line="216" w:lineRule="auto"/>
              <w:ind w:right="102" w:rightChars="0"/>
              <w:jc w:val="both"/>
              <w:textAlignment w:val="baseline"/>
              <w:rPr>
                <w:rFonts w:hint="eastAsia" w:ascii="宋体" w:hAnsi="宋体"/>
                <w:sz w:val="21"/>
                <w:szCs w:val="21"/>
                <w:lang w:val="en-US" w:eastAsia="zh-CN"/>
              </w:rPr>
            </w:pPr>
            <w:r>
              <w:rPr>
                <w:rFonts w:ascii="宋体" w:hAnsi="宋体"/>
                <w:spacing w:val="-4"/>
                <w:sz w:val="21"/>
                <w:szCs w:val="21"/>
                <w:lang w:val="en-US" w:eastAsia="zh-CN"/>
              </w:rPr>
              <w:t>约束弹</w:t>
            </w:r>
            <w:r>
              <w:rPr>
                <w:rFonts w:hint="eastAsia" w:ascii="宋体" w:hAnsi="宋体"/>
                <w:spacing w:val="-4"/>
                <w:sz w:val="21"/>
                <w:szCs w:val="21"/>
                <w:lang w:val="en-US" w:eastAsia="zh-CN"/>
              </w:rPr>
              <w:t>：</w:t>
            </w:r>
            <w:r>
              <w:rPr>
                <w:rFonts w:ascii="宋体" w:hAnsi="宋体"/>
                <w:spacing w:val="-4"/>
                <w:sz w:val="21"/>
                <w:szCs w:val="21"/>
                <w:lang w:val="en-US" w:eastAsia="zh-CN"/>
              </w:rPr>
              <w:t>弹体重量≤120g</w:t>
            </w:r>
            <w:r>
              <w:rPr>
                <w:rFonts w:hint="eastAsia" w:ascii="宋体" w:hAnsi="宋体"/>
                <w:spacing w:val="-4"/>
                <w:sz w:val="21"/>
                <w:szCs w:val="21"/>
                <w:lang w:val="en-US" w:eastAsia="zh-CN"/>
              </w:rPr>
              <w:t>；</w:t>
            </w:r>
            <w:r>
              <w:rPr>
                <w:rFonts w:ascii="宋体" w:hAnsi="宋体"/>
                <w:spacing w:val="-4"/>
                <w:sz w:val="21"/>
                <w:szCs w:val="21"/>
                <w:lang w:val="en-US" w:eastAsia="zh-CN"/>
              </w:rPr>
              <w:t>弹体尺寸：≤40mm*40mm*100mm（L*W*H</w:t>
            </w:r>
            <w:r>
              <w:rPr>
                <w:rFonts w:hint="eastAsia" w:ascii="宋体" w:hAnsi="宋体"/>
                <w:spacing w:val="-4"/>
                <w:sz w:val="21"/>
                <w:szCs w:val="21"/>
                <w:lang w:val="en-US" w:eastAsia="zh-CN"/>
              </w:rPr>
              <w:t>）；</w:t>
            </w:r>
            <w:r>
              <w:rPr>
                <w:rFonts w:ascii="宋体" w:hAnsi="宋体"/>
                <w:spacing w:val="-4"/>
                <w:sz w:val="21"/>
                <w:szCs w:val="21"/>
                <w:lang w:val="en-US" w:eastAsia="zh-CN"/>
              </w:rPr>
              <w:t>约束弹最大射程≥8m</w:t>
            </w:r>
            <w:r>
              <w:rPr>
                <w:rFonts w:hint="eastAsia" w:ascii="宋体" w:hAnsi="宋体"/>
                <w:spacing w:val="-4"/>
                <w:sz w:val="21"/>
                <w:szCs w:val="21"/>
                <w:lang w:val="en-US" w:eastAsia="zh-CN"/>
              </w:rPr>
              <w:t>；</w:t>
            </w:r>
            <w:r>
              <w:rPr>
                <w:rFonts w:ascii="宋体" w:hAnsi="宋体"/>
                <w:spacing w:val="-4"/>
                <w:sz w:val="21"/>
                <w:szCs w:val="21"/>
                <w:lang w:val="en-US" w:eastAsia="zh-CN"/>
              </w:rPr>
              <w:t>约束弹绳锁抗拉强度≥110kg</w:t>
            </w:r>
            <w:r>
              <w:rPr>
                <w:rFonts w:hint="eastAsia" w:ascii="宋体" w:hAnsi="宋体"/>
                <w:spacing w:val="-4"/>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27</w:t>
            </w:r>
          </w:p>
        </w:tc>
        <w:tc>
          <w:tcPr>
            <w:tcW w:w="10568" w:type="dxa"/>
            <w:shd w:val="clear" w:color="auto" w:fill="auto"/>
            <w:vAlign w:val="top"/>
          </w:tcPr>
          <w:p>
            <w:pPr>
              <w:pStyle w:val="6"/>
              <w:spacing w:before="67" w:line="267" w:lineRule="auto"/>
              <w:ind w:right="103" w:rightChars="0"/>
              <w:jc w:val="both"/>
              <w:rPr>
                <w:rFonts w:hint="eastAsia" w:ascii="宋体" w:hAnsi="宋体"/>
                <w:sz w:val="21"/>
                <w:szCs w:val="21"/>
                <w:lang w:val="en-US" w:eastAsia="zh-CN"/>
              </w:rPr>
            </w:pPr>
            <w:r>
              <w:rPr>
                <w:rFonts w:ascii="宋体" w:hAnsi="宋体"/>
                <w:spacing w:val="-4"/>
                <w:sz w:val="21"/>
                <w:szCs w:val="21"/>
                <w:lang w:val="en-US" w:eastAsia="zh-CN"/>
              </w:rPr>
              <w:t>催泪弹</w:t>
            </w:r>
            <w:r>
              <w:rPr>
                <w:rFonts w:hint="eastAsia" w:ascii="宋体" w:hAnsi="宋体"/>
                <w:spacing w:val="-4"/>
                <w:sz w:val="21"/>
                <w:szCs w:val="21"/>
                <w:lang w:val="en-US" w:eastAsia="zh-CN"/>
              </w:rPr>
              <w:t>：弹体</w:t>
            </w:r>
            <w:r>
              <w:rPr>
                <w:rFonts w:ascii="宋体" w:hAnsi="宋体"/>
                <w:spacing w:val="-4"/>
                <w:sz w:val="21"/>
                <w:szCs w:val="21"/>
                <w:lang w:val="en-US" w:eastAsia="zh-CN"/>
              </w:rPr>
              <w:t>质量≤120g</w:t>
            </w:r>
            <w:r>
              <w:rPr>
                <w:rFonts w:hint="eastAsia" w:ascii="宋体" w:hAnsi="宋体"/>
                <w:spacing w:val="-4"/>
                <w:sz w:val="21"/>
                <w:szCs w:val="21"/>
                <w:lang w:val="en-US" w:eastAsia="zh-CN"/>
              </w:rPr>
              <w:t>；</w:t>
            </w:r>
            <w:r>
              <w:rPr>
                <w:rFonts w:ascii="宋体" w:hAnsi="宋体"/>
                <w:spacing w:val="-4"/>
                <w:sz w:val="21"/>
                <w:szCs w:val="21"/>
                <w:lang w:val="en-US" w:eastAsia="zh-CN"/>
              </w:rPr>
              <w:t>弹体尺寸：≤40mm*40mm*110mm（L*W*H）</w:t>
            </w:r>
            <w:r>
              <w:rPr>
                <w:rFonts w:hint="eastAsia" w:ascii="宋体" w:hAnsi="宋体"/>
                <w:spacing w:val="-4"/>
                <w:sz w:val="21"/>
                <w:szCs w:val="21"/>
                <w:lang w:val="en-US" w:eastAsia="zh-CN"/>
              </w:rPr>
              <w:t>；</w:t>
            </w:r>
            <w:r>
              <w:rPr>
                <w:rFonts w:ascii="宋体" w:hAnsi="宋体"/>
                <w:spacing w:val="-4"/>
                <w:sz w:val="21"/>
                <w:szCs w:val="21"/>
                <w:lang w:val="en-US" w:eastAsia="zh-CN"/>
              </w:rPr>
              <w:t>催泪弹大射程≧7m</w:t>
            </w:r>
            <w:r>
              <w:rPr>
                <w:rFonts w:hint="eastAsia" w:ascii="宋体" w:hAnsi="宋体"/>
                <w:spacing w:val="-4"/>
                <w:sz w:val="21"/>
                <w:szCs w:val="21"/>
                <w:lang w:val="en-US" w:eastAsia="zh-CN"/>
              </w:rPr>
              <w:t>；</w:t>
            </w:r>
            <w:r>
              <w:rPr>
                <w:rFonts w:ascii="宋体" w:hAnsi="宋体"/>
                <w:spacing w:val="-4"/>
                <w:sz w:val="21"/>
                <w:szCs w:val="21"/>
                <w:lang w:val="en-US" w:eastAsia="zh-CN"/>
              </w:rPr>
              <w:t>套催泪弹1发弹可至</w:t>
            </w:r>
            <w:r>
              <w:rPr>
                <w:rFonts w:hint="eastAsia" w:ascii="宋体" w:hAnsi="宋体"/>
                <w:spacing w:val="-4"/>
                <w:sz w:val="21"/>
                <w:szCs w:val="21"/>
                <w:lang w:val="en-US" w:eastAsia="zh-CN"/>
              </w:rPr>
              <w:t>少独立击发 4 次，便于射击多个目标；</w:t>
            </w:r>
            <w:r>
              <w:rPr>
                <w:rFonts w:ascii="宋体" w:hAnsi="宋体"/>
                <w:spacing w:val="-4"/>
                <w:sz w:val="21"/>
                <w:szCs w:val="21"/>
                <w:lang w:val="en-US" w:eastAsia="zh-CN"/>
              </w:rPr>
              <w:t>催泪弹对 600mm*900mm 的靶面中心射击,</w:t>
            </w:r>
            <w:r>
              <w:rPr>
                <w:rFonts w:hint="eastAsia" w:ascii="宋体" w:hAnsi="宋体"/>
                <w:spacing w:val="-4"/>
                <w:sz w:val="21"/>
                <w:szCs w:val="21"/>
                <w:lang w:val="en-US" w:eastAsia="zh-CN"/>
              </w:rPr>
              <w:t>落靶区域的催泪液覆盖面积直径应≥250mm；</w:t>
            </w:r>
            <w:r>
              <w:rPr>
                <w:rFonts w:ascii="宋体" w:hAnsi="宋体"/>
                <w:spacing w:val="-4"/>
                <w:sz w:val="21"/>
                <w:szCs w:val="21"/>
                <w:lang w:val="en-US" w:eastAsia="zh-CN"/>
              </w:rPr>
              <w:t>催泪弹</w:t>
            </w:r>
            <w:r>
              <w:rPr>
                <w:rFonts w:hint="eastAsia" w:ascii="宋体" w:hAnsi="宋体"/>
                <w:spacing w:val="-4"/>
                <w:sz w:val="21"/>
                <w:szCs w:val="21"/>
                <w:lang w:val="en-US" w:eastAsia="zh-CN"/>
              </w:rPr>
              <w:t>距离7m</w:t>
            </w:r>
            <w:r>
              <w:rPr>
                <w:rFonts w:ascii="宋体" w:hAnsi="宋体"/>
                <w:spacing w:val="-4"/>
                <w:sz w:val="21"/>
                <w:szCs w:val="21"/>
                <w:lang w:val="en-US" w:eastAsia="zh-CN"/>
              </w:rPr>
              <w:t>对 600mm*900mm 的靶面中心射击,</w:t>
            </w:r>
            <w:r>
              <w:rPr>
                <w:rFonts w:hint="eastAsia" w:ascii="宋体" w:hAnsi="宋体"/>
                <w:spacing w:val="-4"/>
                <w:sz w:val="21"/>
                <w:szCs w:val="21"/>
                <w:lang w:val="en-US" w:eastAsia="zh-CN"/>
              </w:rPr>
              <w:t>落靶区域的催泪质量应大于单发质量的30%。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shd w:val="clear" w:color="auto" w:fill="auto"/>
            <w:vAlign w:val="center"/>
          </w:tcPr>
          <w:p>
            <w:pPr>
              <w:pStyle w:val="6"/>
              <w:spacing w:before="62" w:line="272" w:lineRule="auto"/>
              <w:ind w:right="103"/>
              <w:jc w:val="center"/>
              <w:rPr>
                <w:rFonts w:hint="default" w:ascii="宋体" w:hAnsi="宋体"/>
                <w:spacing w:val="-4"/>
                <w:sz w:val="21"/>
                <w:szCs w:val="21"/>
                <w:lang w:val="en-US" w:eastAsia="zh-CN"/>
              </w:rPr>
            </w:pPr>
            <w:r>
              <w:rPr>
                <w:rFonts w:hint="eastAsia" w:ascii="宋体" w:hAnsi="宋体"/>
                <w:spacing w:val="-4"/>
                <w:sz w:val="21"/>
                <w:szCs w:val="21"/>
                <w:lang w:val="en-US" w:eastAsia="zh-CN"/>
              </w:rPr>
              <w:t>28</w:t>
            </w:r>
          </w:p>
        </w:tc>
        <w:tc>
          <w:tcPr>
            <w:tcW w:w="10568" w:type="dxa"/>
            <w:shd w:val="clear" w:color="auto" w:fill="auto"/>
            <w:vAlign w:val="top"/>
          </w:tcPr>
          <w:p>
            <w:pPr>
              <w:pStyle w:val="6"/>
              <w:spacing w:before="67" w:line="267" w:lineRule="auto"/>
              <w:ind w:right="103" w:rightChars="0"/>
              <w:jc w:val="both"/>
              <w:rPr>
                <w:rFonts w:hint="eastAsia" w:ascii="宋体" w:hAnsi="宋体"/>
                <w:sz w:val="21"/>
                <w:szCs w:val="21"/>
                <w:lang w:val="en-US" w:eastAsia="zh-CN"/>
              </w:rPr>
            </w:pPr>
            <w:r>
              <w:rPr>
                <w:rFonts w:hint="eastAsia" w:ascii="宋体" w:hAnsi="宋体"/>
                <w:sz w:val="21"/>
                <w:szCs w:val="21"/>
                <w:lang w:val="en-US" w:eastAsia="zh-CN"/>
              </w:rPr>
              <w:t>眩目弹：弹体重量≤155g；弹体尺寸小于Φ40mm*90mm；波长≤540nm；光功率≤1W；5m 处测量光斑可在 15cm~60cm 调整；激光视觉干扰≥20m；可以切换常亮与爆闪模式；（设备辅助瞄准激光）激光视觉干扰可以连续工作超过 30 分钟；所有弹型在弹体外部的金属击发触点及非金属外壳和缝隙施加 25kV 电压时，保证每一种弹型不被该电压击发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440" w:firstLineChars="1700"/>
        <w:jc w:val="both"/>
        <w:textAlignment w:val="auto"/>
        <w:rPr>
          <w:rFonts w:hint="default" w:ascii="宋体" w:hAnsi="宋体"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WRiOGYzMmE0NjZkMjgxMWZmYTc2NGFlYjJkY2UifQ=="/>
    <w:docVar w:name="KSO_WPS_MARK_KEY" w:val="7decb526-4f3b-448a-9d7b-a34c903d56a4"/>
  </w:docVars>
  <w:rsids>
    <w:rsidRoot w:val="00000000"/>
    <w:rsid w:val="01776DD5"/>
    <w:rsid w:val="01EC3E90"/>
    <w:rsid w:val="033B3D9D"/>
    <w:rsid w:val="03976048"/>
    <w:rsid w:val="07835E69"/>
    <w:rsid w:val="07C75F98"/>
    <w:rsid w:val="07DC5316"/>
    <w:rsid w:val="085D1644"/>
    <w:rsid w:val="0878647D"/>
    <w:rsid w:val="0AFE7ECB"/>
    <w:rsid w:val="0BAF7A66"/>
    <w:rsid w:val="0E450563"/>
    <w:rsid w:val="0F8B1E46"/>
    <w:rsid w:val="182B4559"/>
    <w:rsid w:val="184D17E8"/>
    <w:rsid w:val="19595E57"/>
    <w:rsid w:val="1A975784"/>
    <w:rsid w:val="1CBD1FD2"/>
    <w:rsid w:val="217A696B"/>
    <w:rsid w:val="25E545CB"/>
    <w:rsid w:val="25F402F2"/>
    <w:rsid w:val="2753038A"/>
    <w:rsid w:val="28BF7401"/>
    <w:rsid w:val="28DC6E27"/>
    <w:rsid w:val="2D32459D"/>
    <w:rsid w:val="2FE56B35"/>
    <w:rsid w:val="34655735"/>
    <w:rsid w:val="36507765"/>
    <w:rsid w:val="3B2B6963"/>
    <w:rsid w:val="3DD132A9"/>
    <w:rsid w:val="3DFF4B60"/>
    <w:rsid w:val="3F15263D"/>
    <w:rsid w:val="3FD741B2"/>
    <w:rsid w:val="3FF23580"/>
    <w:rsid w:val="42A9378E"/>
    <w:rsid w:val="42DA3170"/>
    <w:rsid w:val="4511314E"/>
    <w:rsid w:val="47140153"/>
    <w:rsid w:val="47605961"/>
    <w:rsid w:val="48781C18"/>
    <w:rsid w:val="48991A4C"/>
    <w:rsid w:val="4AA05304"/>
    <w:rsid w:val="5BB30EAD"/>
    <w:rsid w:val="5F300AC2"/>
    <w:rsid w:val="5FC80B9B"/>
    <w:rsid w:val="612D0250"/>
    <w:rsid w:val="61795FFF"/>
    <w:rsid w:val="61B87079"/>
    <w:rsid w:val="64C86FBA"/>
    <w:rsid w:val="66486F5B"/>
    <w:rsid w:val="67CC5632"/>
    <w:rsid w:val="69831701"/>
    <w:rsid w:val="6AD10CF7"/>
    <w:rsid w:val="6C8662B2"/>
    <w:rsid w:val="6D913D27"/>
    <w:rsid w:val="6E981BB5"/>
    <w:rsid w:val="6F4F039C"/>
    <w:rsid w:val="70652E19"/>
    <w:rsid w:val="716642EC"/>
    <w:rsid w:val="723D4EEF"/>
    <w:rsid w:val="727C791C"/>
    <w:rsid w:val="72F05521"/>
    <w:rsid w:val="74384061"/>
    <w:rsid w:val="74A54C22"/>
    <w:rsid w:val="76D17EED"/>
    <w:rsid w:val="78320EC2"/>
    <w:rsid w:val="7B0411AF"/>
    <w:rsid w:val="7CAA116B"/>
    <w:rsid w:val="7EFA61E9"/>
    <w:rsid w:val="7F3B7B86"/>
    <w:rsid w:val="D1FFA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2043</Words>
  <Characters>2342</Characters>
  <Lines>0</Lines>
  <Paragraphs>0</Paragraphs>
  <TotalTime>19</TotalTime>
  <ScaleCrop>false</ScaleCrop>
  <LinksUpToDate>false</LinksUpToDate>
  <CharactersWithSpaces>2410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2024-07-08T10:09:00Z</dcterms:created>
  <dc:creator>Administrator</dc:creator>
  <cp:lastModifiedBy>大地的礼赞</cp:lastModifiedBy>
  <cp:lastPrinted>2024-07-09T10:09:00Z</cp:lastPrinted>
  <dcterms:modified xsi:type="dcterms:W3CDTF">2025-05-28T06:28:22Z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99B983932A5171BCF67A36685ED5599F</vt:lpwstr>
  </property>
</Properties>
</file>