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outlineLvl w:val="1"/>
        <w:rPr>
          <w:rFonts w:hint="eastAsia" w:ascii="仿宋_GB2312" w:hAnsi="仿宋_GB2312" w:eastAsia="仿宋_GB2312" w:cs="仿宋_GB2312"/>
          <w:b/>
          <w:sz w:val="36"/>
          <w:lang w:val="en-US" w:eastAsia="zh-CN"/>
        </w:rPr>
      </w:pPr>
      <w:r>
        <w:rPr>
          <w:rFonts w:hint="eastAsia" w:ascii="仿宋_GB2312" w:hAnsi="仿宋_GB2312" w:eastAsia="仿宋_GB2312" w:cs="仿宋_GB2312"/>
          <w:b/>
          <w:sz w:val="36"/>
          <w:lang w:val="en-US" w:eastAsia="zh-CN"/>
        </w:rPr>
        <w:t>四川省监狱管理局中心医院</w:t>
      </w:r>
    </w:p>
    <w:p>
      <w:pPr>
        <w:pStyle w:val="6"/>
        <w:jc w:val="center"/>
        <w:outlineLvl w:val="1"/>
        <w:rPr>
          <w:rFonts w:hint="eastAsia" w:ascii="仿宋_GB2312" w:hAnsi="仿宋_GB2312" w:eastAsia="仿宋_GB2312" w:cs="仿宋_GB2312"/>
          <w:b/>
          <w:sz w:val="36"/>
          <w:lang w:val="en-US" w:eastAsia="zh-CN"/>
        </w:rPr>
      </w:pPr>
      <w:r>
        <w:rPr>
          <w:rFonts w:hint="eastAsia" w:ascii="仿宋_GB2312" w:hAnsi="仿宋_GB2312" w:eastAsia="仿宋_GB2312" w:cs="仿宋_GB2312"/>
          <w:b/>
          <w:sz w:val="36"/>
          <w:lang w:val="en-US" w:eastAsia="zh-CN"/>
        </w:rPr>
        <w:t>消毒供应外包服务采购项目</w:t>
      </w:r>
      <w:bookmarkStart w:id="0" w:name="_GoBack"/>
      <w:bookmarkEnd w:id="0"/>
    </w:p>
    <w:p>
      <w:pPr>
        <w:pStyle w:val="6"/>
        <w:jc w:val="left"/>
        <w:outlineLvl w:val="3"/>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一、预算金额：</w:t>
      </w:r>
    </w:p>
    <w:p>
      <w:pPr>
        <w:pStyle w:val="6"/>
        <w:jc w:val="left"/>
        <w:rPr>
          <w:rFonts w:hint="default" w:ascii="仿宋_GB2312" w:hAnsi="仿宋_GB2312" w:eastAsia="仿宋_GB2312" w:cs="仿宋_GB2312"/>
          <w:lang w:val="en-US" w:eastAsia="zh-CN"/>
        </w:rPr>
      </w:pPr>
      <w:r>
        <w:rPr>
          <w:rFonts w:ascii="仿宋_GB2312" w:hAnsi="仿宋_GB2312" w:eastAsia="仿宋_GB2312" w:cs="仿宋_GB2312"/>
        </w:rPr>
        <w:t>采购预算金额（元）:</w:t>
      </w:r>
      <w:r>
        <w:rPr>
          <w:rFonts w:hint="eastAsia" w:ascii="仿宋_GB2312" w:hAnsi="仿宋_GB2312" w:eastAsia="仿宋_GB2312" w:cs="仿宋_GB2312"/>
          <w:lang w:val="en-US" w:eastAsia="zh-CN"/>
        </w:rPr>
        <w:t>99500.00，</w:t>
      </w:r>
      <w:r>
        <w:rPr>
          <w:rFonts w:hint="eastAsia" w:ascii="仿宋_GB2312" w:hAnsi="仿宋_GB2312" w:eastAsia="仿宋_GB2312" w:cs="仿宋_GB2312"/>
          <w:sz w:val="20"/>
          <w:szCs w:val="20"/>
          <w:lang w:val="en-US" w:eastAsia="zh-CN"/>
        </w:rPr>
        <w:t>不接受联合体投标，不允许转包、分包</w:t>
      </w:r>
    </w:p>
    <w:p>
      <w:pPr>
        <w:pStyle w:val="6"/>
        <w:jc w:val="left"/>
        <w:outlineLvl w:val="3"/>
      </w:pPr>
      <w:r>
        <w:rPr>
          <w:rFonts w:hint="eastAsia" w:ascii="仿宋_GB2312" w:hAnsi="仿宋_GB2312" w:eastAsia="仿宋_GB2312" w:cs="仿宋_GB2312"/>
          <w:b/>
          <w:sz w:val="24"/>
          <w:lang w:val="en-US" w:eastAsia="zh-CN"/>
        </w:rPr>
        <w:t>二、</w:t>
      </w:r>
      <w:r>
        <w:rPr>
          <w:rFonts w:ascii="仿宋_GB2312" w:hAnsi="仿宋_GB2312" w:eastAsia="仿宋_GB2312" w:cs="仿宋_GB2312"/>
          <w:b/>
          <w:sz w:val="24"/>
        </w:rPr>
        <w:t>报价要求</w:t>
      </w:r>
    </w:p>
    <w:p>
      <w:pPr>
        <w:pStyle w:val="6"/>
        <w:ind w:firstLine="480"/>
        <w:jc w:val="left"/>
        <w:rPr>
          <w:rFonts w:ascii="仿宋_GB2312" w:hAnsi="仿宋_GB2312" w:eastAsia="仿宋_GB2312" w:cs="仿宋_GB2312"/>
        </w:rPr>
      </w:pPr>
      <w:r>
        <w:rPr>
          <w:rFonts w:hint="eastAsia" w:ascii="仿宋_GB2312" w:hAnsi="仿宋_GB2312" w:eastAsia="仿宋_GB2312" w:cs="仿宋_GB2312"/>
          <w:lang w:eastAsia="zh-CN"/>
        </w:rPr>
        <w:t>供应商</w:t>
      </w:r>
      <w:r>
        <w:rPr>
          <w:rFonts w:ascii="仿宋_GB2312" w:hAnsi="仿宋_GB2312" w:eastAsia="仿宋_GB2312" w:cs="仿宋_GB2312"/>
        </w:rPr>
        <w:t>须在本项目</w:t>
      </w:r>
      <w:r>
        <w:rPr>
          <w:rFonts w:hint="eastAsia" w:ascii="仿宋_GB2312" w:hAnsi="仿宋_GB2312" w:eastAsia="仿宋_GB2312" w:cs="仿宋_GB2312"/>
          <w:lang w:val="en-US" w:eastAsia="zh-CN"/>
        </w:rPr>
        <w:t>预算范围内报出1年服务期内的包干总价</w:t>
      </w:r>
      <w:r>
        <w:rPr>
          <w:rFonts w:ascii="仿宋_GB2312" w:hAnsi="仿宋_GB2312" w:eastAsia="仿宋_GB2312" w:cs="仿宋_GB2312"/>
        </w:rPr>
        <w:t>。</w:t>
      </w:r>
      <w:r>
        <w:rPr>
          <w:rFonts w:hint="eastAsia" w:ascii="仿宋_GB2312" w:hAnsi="仿宋_GB2312" w:eastAsia="仿宋_GB2312" w:cs="仿宋_GB2312"/>
          <w:lang w:eastAsia="zh-CN"/>
        </w:rPr>
        <w:t>供应商</w:t>
      </w:r>
      <w:r>
        <w:rPr>
          <w:rFonts w:ascii="仿宋_GB2312" w:hAnsi="仿宋_GB2312" w:eastAsia="仿宋_GB2312" w:cs="仿宋_GB2312"/>
        </w:rPr>
        <w:t>报价包括医疗器械、器具、物品、敷料的所有处理费用（包含包装材料、指示胶带、包内化学指示卡、纱块、纱布、棉球、大小棉签、显影双纱等一次性物品费用、清洗消毒灭菌费用、人员费用、物流费用、运维费、税费等一切费用），是</w:t>
      </w:r>
      <w:r>
        <w:rPr>
          <w:rFonts w:hint="eastAsia" w:ascii="仿宋_GB2312" w:hAnsi="仿宋_GB2312" w:eastAsia="仿宋_GB2312" w:cs="仿宋_GB2312"/>
          <w:lang w:eastAsia="zh-CN"/>
        </w:rPr>
        <w:t>供应商</w:t>
      </w:r>
      <w:r>
        <w:rPr>
          <w:rFonts w:ascii="仿宋_GB2312" w:hAnsi="仿宋_GB2312" w:eastAsia="仿宋_GB2312" w:cs="仿宋_GB2312"/>
        </w:rPr>
        <w:t>实现本项目所有服务内容和采购需求的固定不变价格，不因任何原因进行调整。</w:t>
      </w:r>
    </w:p>
    <w:p>
      <w:pPr>
        <w:pStyle w:val="6"/>
        <w:ind w:firstLine="480"/>
        <w:jc w:val="left"/>
        <w:rPr>
          <w:rFonts w:hint="default" w:ascii="仿宋_GB2312" w:hAnsi="仿宋_GB2312" w:eastAsia="仿宋_GB2312" w:cs="仿宋_GB2312"/>
          <w:b/>
          <w:bCs/>
          <w:color w:val="FF0000"/>
          <w:lang w:val="en-US" w:eastAsia="zh-CN"/>
        </w:rPr>
      </w:pPr>
      <w:r>
        <w:rPr>
          <w:rFonts w:hint="eastAsia" w:ascii="仿宋_GB2312" w:hAnsi="仿宋_GB2312" w:eastAsia="仿宋_GB2312" w:cs="仿宋_GB2312"/>
          <w:b/>
          <w:bCs/>
          <w:color w:val="FF0000"/>
          <w:lang w:eastAsia="zh-CN"/>
        </w:rPr>
        <w:t>供应商在平台线上报价的同时，需同时将响应文件邮寄至我单位。收件人：李老师，联系电话：</w:t>
      </w:r>
      <w:r>
        <w:rPr>
          <w:rFonts w:hint="eastAsia" w:ascii="仿宋_GB2312" w:hAnsi="仿宋_GB2312" w:eastAsia="仿宋_GB2312" w:cs="仿宋_GB2312"/>
          <w:b/>
          <w:bCs/>
          <w:color w:val="FF0000"/>
          <w:lang w:val="en-US" w:eastAsia="zh-CN"/>
        </w:rPr>
        <w:t>028-62203018，收件地址：四川省成都市金堂县清江镇火盆路2号四川省金堂监狱机关行政大楼3楼采购科。</w:t>
      </w:r>
    </w:p>
    <w:p>
      <w:pPr>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供应商资格</w:t>
      </w:r>
      <w:r>
        <w:rPr>
          <w:rFonts w:hint="eastAsia" w:ascii="仿宋_GB2312" w:hAnsi="仿宋_GB2312" w:eastAsia="仿宋_GB2312" w:cs="仿宋_GB2312"/>
          <w:b/>
          <w:bCs/>
          <w:sz w:val="24"/>
          <w:szCs w:val="24"/>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70" w:firstLineChars="85"/>
        <w:textAlignment w:val="auto"/>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《中华人民共和国政府采购法》第二十二条 供应商参加政府采购活动应当具备下列条件：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70" w:firstLineChars="85"/>
        <w:textAlignment w:val="auto"/>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lang w:val="en-US" w:eastAsia="zh-CN"/>
        </w:rPr>
        <w:t>1.</w:t>
      </w:r>
      <w:r>
        <w:rPr>
          <w:rFonts w:hint="eastAsia" w:ascii="仿宋_GB2312" w:hAnsi="仿宋_GB2312" w:eastAsia="仿宋_GB2312" w:cs="仿宋_GB2312"/>
          <w:b w:val="0"/>
          <w:bCs w:val="0"/>
          <w:sz w:val="20"/>
          <w:szCs w:val="20"/>
        </w:rPr>
        <w:t>具有独立承担民事责任的能力；</w:t>
      </w:r>
    </w:p>
    <w:p>
      <w:pPr>
        <w:keepNext w:val="0"/>
        <w:keepLines w:val="0"/>
        <w:pageBreakBefore w:val="0"/>
        <w:widowControl w:val="0"/>
        <w:kinsoku/>
        <w:wordWrap/>
        <w:overflowPunct/>
        <w:topLinePunct w:val="0"/>
        <w:autoSpaceDE/>
        <w:autoSpaceDN/>
        <w:bidi w:val="0"/>
        <w:adjustRightInd/>
        <w:snapToGrid/>
        <w:spacing w:line="240" w:lineRule="auto"/>
        <w:ind w:firstLine="170" w:firstLineChars="85"/>
        <w:textAlignment w:val="auto"/>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lang w:val="en-US" w:eastAsia="zh-CN"/>
        </w:rPr>
        <w:t>2.</w:t>
      </w:r>
      <w:r>
        <w:rPr>
          <w:rFonts w:hint="eastAsia" w:ascii="仿宋_GB2312" w:hAnsi="仿宋_GB2312" w:eastAsia="仿宋_GB2312" w:cs="仿宋_GB2312"/>
          <w:b w:val="0"/>
          <w:bCs w:val="0"/>
          <w:sz w:val="20"/>
          <w:szCs w:val="20"/>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40" w:lineRule="auto"/>
        <w:ind w:firstLine="170" w:firstLineChars="85"/>
        <w:textAlignment w:val="auto"/>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lang w:val="en-US" w:eastAsia="zh-CN"/>
        </w:rPr>
        <w:t>3.</w:t>
      </w:r>
      <w:r>
        <w:rPr>
          <w:rFonts w:hint="eastAsia" w:ascii="仿宋_GB2312" w:hAnsi="仿宋_GB2312" w:eastAsia="仿宋_GB2312" w:cs="仿宋_GB2312"/>
          <w:b w:val="0"/>
          <w:bCs w:val="0"/>
          <w:sz w:val="20"/>
          <w:szCs w:val="20"/>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40" w:lineRule="auto"/>
        <w:ind w:firstLine="170" w:firstLineChars="85"/>
        <w:textAlignment w:val="auto"/>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lang w:val="en-US" w:eastAsia="zh-CN"/>
        </w:rPr>
        <w:t>4.</w:t>
      </w:r>
      <w:r>
        <w:rPr>
          <w:rFonts w:hint="eastAsia" w:ascii="仿宋_GB2312" w:hAnsi="仿宋_GB2312" w:eastAsia="仿宋_GB2312" w:cs="仿宋_GB2312"/>
          <w:b w:val="0"/>
          <w:bCs w:val="0"/>
          <w:sz w:val="20"/>
          <w:szCs w:val="20"/>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40" w:lineRule="auto"/>
        <w:ind w:firstLine="170" w:firstLineChars="85"/>
        <w:textAlignment w:val="auto"/>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lang w:val="en-US" w:eastAsia="zh-CN"/>
        </w:rPr>
        <w:t>5.</w:t>
      </w:r>
      <w:r>
        <w:rPr>
          <w:rFonts w:hint="eastAsia" w:ascii="仿宋_GB2312" w:hAnsi="仿宋_GB2312" w:eastAsia="仿宋_GB2312" w:cs="仿宋_GB2312"/>
          <w:b w:val="0"/>
          <w:bCs w:val="0"/>
          <w:sz w:val="20"/>
          <w:szCs w:val="20"/>
        </w:rPr>
        <w:t>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240" w:lineRule="auto"/>
        <w:ind w:firstLine="170" w:firstLineChars="85"/>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具备并提供有效营业执照（经营范围含医疗器械消毒灭菌服务）或《医疗机构执业许可证》及提供具有消毒供应能力承诺函。</w:t>
      </w:r>
    </w:p>
    <w:p>
      <w:pPr>
        <w:pStyle w:val="6"/>
        <w:jc w:val="left"/>
        <w:outlineLvl w:val="3"/>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四、技术要求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center"/>
            </w:pPr>
            <w:r>
              <w:rPr>
                <w:rFonts w:ascii="仿宋_GB2312" w:hAnsi="仿宋_GB2312" w:eastAsia="仿宋_GB2312" w:cs="仿宋_GB2312"/>
              </w:rPr>
              <w:t>序号</w:t>
            </w:r>
          </w:p>
        </w:tc>
        <w:tc>
          <w:tcPr>
            <w:tcW w:w="581" w:type="dxa"/>
          </w:tcPr>
          <w:p>
            <w:pPr>
              <w:pStyle w:val="6"/>
              <w:jc w:val="center"/>
            </w:pPr>
            <w:r>
              <w:rPr>
                <w:rFonts w:ascii="仿宋_GB2312" w:hAnsi="仿宋_GB2312" w:eastAsia="仿宋_GB2312" w:cs="仿宋_GB2312"/>
              </w:rPr>
              <w:t>符号标识</w:t>
            </w:r>
          </w:p>
        </w:tc>
        <w:tc>
          <w:tcPr>
            <w:tcW w:w="1495" w:type="dxa"/>
          </w:tcPr>
          <w:p>
            <w:pPr>
              <w:pStyle w:val="6"/>
              <w:jc w:val="center"/>
            </w:pPr>
            <w:r>
              <w:rPr>
                <w:rFonts w:ascii="仿宋_GB2312" w:hAnsi="仿宋_GB2312" w:eastAsia="仿宋_GB2312" w:cs="仿宋_GB2312"/>
              </w:rPr>
              <w:t>技术要求名称</w:t>
            </w:r>
          </w:p>
        </w:tc>
        <w:tc>
          <w:tcPr>
            <w:tcW w:w="5814" w:type="dxa"/>
          </w:tcPr>
          <w:p>
            <w:pPr>
              <w:pStyle w:val="6"/>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center"/>
            </w:pPr>
            <w:r>
              <w:rPr>
                <w:rFonts w:ascii="仿宋_GB2312" w:hAnsi="仿宋_GB2312" w:eastAsia="仿宋_GB2312" w:cs="仿宋_GB2312"/>
              </w:rPr>
              <w:t>1</w:t>
            </w:r>
          </w:p>
        </w:tc>
        <w:tc>
          <w:tcPr>
            <w:tcW w:w="581" w:type="dxa"/>
          </w:tcPr>
          <w:p/>
        </w:tc>
        <w:tc>
          <w:tcPr>
            <w:tcW w:w="1495" w:type="dxa"/>
          </w:tcPr>
          <w:p>
            <w:pPr>
              <w:pStyle w:val="6"/>
              <w:jc w:val="left"/>
            </w:pPr>
            <w:r>
              <w:rPr>
                <w:rFonts w:ascii="仿宋_GB2312" w:hAnsi="仿宋_GB2312" w:eastAsia="仿宋_GB2312" w:cs="仿宋_GB2312"/>
              </w:rPr>
              <w:t>项目服务内容及要求</w:t>
            </w:r>
          </w:p>
        </w:tc>
        <w:tc>
          <w:tcPr>
            <w:tcW w:w="5814" w:type="dxa"/>
          </w:tcPr>
          <w:p>
            <w:pPr>
              <w:pStyle w:val="6"/>
              <w:ind w:left="105"/>
              <w:jc w:val="both"/>
            </w:pPr>
            <w:r>
              <w:rPr>
                <w:rFonts w:ascii="仿宋_GB2312" w:hAnsi="仿宋_GB2312" w:eastAsia="仿宋_GB2312" w:cs="仿宋_GB2312"/>
                <w:b/>
                <w:sz w:val="21"/>
              </w:rPr>
              <w:t>一、服务内容</w:t>
            </w:r>
          </w:p>
          <w:p>
            <w:pPr>
              <w:pStyle w:val="6"/>
              <w:ind w:left="105"/>
              <w:jc w:val="both"/>
            </w:pPr>
            <w:r>
              <w:rPr>
                <w:rFonts w:ascii="仿宋_GB2312" w:hAnsi="仿宋_GB2312" w:eastAsia="仿宋_GB2312" w:cs="仿宋_GB2312"/>
                <w:sz w:val="21"/>
              </w:rPr>
              <w:t>1.</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按照国家及行业标准和规范要求对采购人使用后的可重复使用的诊疗器械、器具</w:t>
            </w:r>
            <w:r>
              <w:rPr>
                <w:rFonts w:hint="eastAsia" w:ascii="仿宋_GB2312" w:hAnsi="仿宋_GB2312" w:eastAsia="仿宋_GB2312" w:cs="仿宋_GB2312"/>
                <w:sz w:val="21"/>
                <w:lang w:val="en-US" w:eastAsia="zh-CN"/>
              </w:rPr>
              <w:t>(包括外来器械及植入物）</w:t>
            </w:r>
            <w:r>
              <w:rPr>
                <w:rFonts w:ascii="仿宋_GB2312" w:hAnsi="仿宋_GB2312" w:eastAsia="仿宋_GB2312" w:cs="仿宋_GB2312"/>
                <w:sz w:val="21"/>
              </w:rPr>
              <w:t>和物品进行回收、分类（清点）、清洗、消毒、干燥、检查与保养、包装、灭菌、监测、发放等全流程服务；对已清洗合格的敷料进行检查包装、压力灭菌及发放服务；满足临床安全与效率，实现全程可追溯。</w:t>
            </w:r>
          </w:p>
          <w:p>
            <w:pPr>
              <w:pStyle w:val="6"/>
              <w:ind w:left="105"/>
              <w:jc w:val="both"/>
            </w:pPr>
            <w:r>
              <w:rPr>
                <w:rFonts w:ascii="仿宋_GB2312" w:hAnsi="仿宋_GB2312" w:eastAsia="仿宋_GB2312" w:cs="仿宋_GB2312"/>
                <w:sz w:val="21"/>
              </w:rPr>
              <w:t>2.符合以下国家及行业标准和规范：</w:t>
            </w:r>
          </w:p>
          <w:p>
            <w:pPr>
              <w:pStyle w:val="6"/>
              <w:ind w:left="105"/>
              <w:jc w:val="both"/>
            </w:pPr>
            <w:r>
              <w:rPr>
                <w:rFonts w:ascii="仿宋_GB2312" w:hAnsi="仿宋_GB2312" w:eastAsia="仿宋_GB2312" w:cs="仿宋_GB2312"/>
                <w:sz w:val="21"/>
              </w:rPr>
              <w:t>2.1 《消毒管理办法》；</w:t>
            </w:r>
          </w:p>
          <w:p>
            <w:pPr>
              <w:pStyle w:val="6"/>
              <w:ind w:left="105"/>
              <w:jc w:val="both"/>
            </w:pPr>
            <w:r>
              <w:rPr>
                <w:rFonts w:ascii="仿宋_GB2312" w:hAnsi="仿宋_GB2312" w:eastAsia="仿宋_GB2312" w:cs="仿宋_GB2312"/>
                <w:sz w:val="21"/>
              </w:rPr>
              <w:t>2.2 《医院感染管理办法》；</w:t>
            </w:r>
          </w:p>
          <w:p>
            <w:pPr>
              <w:pStyle w:val="6"/>
              <w:ind w:left="105"/>
              <w:jc w:val="both"/>
              <w:rPr>
                <w:color w:val="FF0000"/>
              </w:rPr>
            </w:pPr>
            <w:r>
              <w:rPr>
                <w:rFonts w:ascii="仿宋_GB2312" w:hAnsi="仿宋_GB2312" w:eastAsia="仿宋_GB2312" w:cs="仿宋_GB2312"/>
                <w:sz w:val="21"/>
              </w:rPr>
              <w:t xml:space="preserve">2.3 </w:t>
            </w:r>
            <w:r>
              <w:rPr>
                <w:rFonts w:ascii="仿宋_GB2312" w:hAnsi="仿宋_GB2312" w:eastAsia="仿宋_GB2312" w:cs="仿宋_GB2312"/>
                <w:color w:val="000000" w:themeColor="text1"/>
                <w:sz w:val="21"/>
                <w14:textFill>
                  <w14:solidFill>
                    <w14:schemeClr w14:val="tx1"/>
                  </w14:solidFill>
                </w14:textFill>
              </w:rPr>
              <w:t>《卫生健康委关于印发医疗消毒供应中心等三类医疗机构基本标准和管理规范（试行）的通知》（国卫医发﹝2018﹞11号）文件规定的医疗消毒供应中心基本标准（试行）和医疗消毒供应中心管理规范（试行）；</w:t>
            </w:r>
          </w:p>
          <w:p>
            <w:pPr>
              <w:pStyle w:val="6"/>
              <w:ind w:left="105"/>
              <w:jc w:val="both"/>
            </w:pPr>
            <w:r>
              <w:rPr>
                <w:rFonts w:ascii="仿宋_GB2312" w:hAnsi="仿宋_GB2312" w:eastAsia="仿宋_GB2312" w:cs="仿宋_GB2312"/>
                <w:sz w:val="21"/>
              </w:rPr>
              <w:t>2.4 《最终灭菌医疗器械包装 第1部分：材料、无菌屏障系统和包装系统的要求》（GB/T 19633.1-2015）；</w:t>
            </w:r>
          </w:p>
          <w:p>
            <w:pPr>
              <w:pStyle w:val="6"/>
              <w:ind w:left="105"/>
              <w:jc w:val="both"/>
            </w:pPr>
            <w:r>
              <w:rPr>
                <w:rFonts w:ascii="仿宋_GB2312" w:hAnsi="仿宋_GB2312" w:eastAsia="仿宋_GB2312" w:cs="仿宋_GB2312"/>
                <w:sz w:val="21"/>
              </w:rPr>
              <w:t>2.5 《医院消毒供应中心 第1部分：管理规范》（WS310.1-2016）《医院消毒供应中心 第2部分：清洗消毒及灭菌技术操作规范》（WS310.2-2016） 《医院消毒供应中心 第3部分：清洗消毒及灭菌效果监测标准》（WS310.3-2016）《医疗机构消毒技术规范》（WS/T 367-2012）《医疗机构环境表面清洁与消毒管理规范》（WS/T 512-2016）等中华人民共和国卫生行业标准；</w:t>
            </w:r>
          </w:p>
          <w:p>
            <w:pPr>
              <w:pStyle w:val="6"/>
              <w:ind w:left="105"/>
              <w:jc w:val="both"/>
            </w:pPr>
            <w:r>
              <w:rPr>
                <w:rFonts w:ascii="仿宋_GB2312" w:hAnsi="仿宋_GB2312" w:eastAsia="仿宋_GB2312" w:cs="仿宋_GB2312"/>
                <w:sz w:val="21"/>
              </w:rPr>
              <w:t>2.6 《消毒供应质量管理及评价 第2部分：区域化消毒供应业务》（T/CRHA 063.2-2024）。</w:t>
            </w:r>
          </w:p>
          <w:p>
            <w:pPr>
              <w:pStyle w:val="6"/>
              <w:jc w:val="left"/>
            </w:pPr>
            <w:r>
              <w:rPr>
                <w:rFonts w:ascii="仿宋_GB2312" w:hAnsi="仿宋_GB2312" w:eastAsia="仿宋_GB2312" w:cs="仿宋_GB2312"/>
                <w:sz w:val="21"/>
              </w:rPr>
              <w:t>注：本项目涉及的法律、法规、规章、标准、规范性文件如有更新时，</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须按照最新标准执行。</w:t>
            </w:r>
          </w:p>
          <w:p>
            <w:pPr>
              <w:pStyle w:val="6"/>
              <w:ind w:left="105"/>
              <w:jc w:val="both"/>
            </w:pPr>
            <w:r>
              <w:rPr>
                <w:rFonts w:ascii="仿宋_GB2312" w:hAnsi="仿宋_GB2312" w:eastAsia="仿宋_GB2312" w:cs="仿宋_GB2312"/>
                <w:b/>
                <w:sz w:val="21"/>
              </w:rPr>
              <w:t>二、服务要求</w:t>
            </w:r>
          </w:p>
          <w:p>
            <w:pPr>
              <w:pStyle w:val="6"/>
              <w:ind w:left="105"/>
              <w:jc w:val="left"/>
            </w:pPr>
            <w:r>
              <w:rPr>
                <w:rFonts w:ascii="仿宋_GB2312" w:hAnsi="仿宋_GB2312" w:eastAsia="仿宋_GB2312" w:cs="仿宋_GB2312"/>
                <w:b/>
                <w:sz w:val="21"/>
              </w:rPr>
              <w:t>1.辅材及包装要求：</w:t>
            </w:r>
          </w:p>
          <w:p>
            <w:pPr>
              <w:pStyle w:val="6"/>
              <w:ind w:left="105"/>
              <w:jc w:val="left"/>
            </w:pPr>
            <w:r>
              <w:rPr>
                <w:rFonts w:ascii="仿宋_GB2312" w:hAnsi="仿宋_GB2312" w:eastAsia="仿宋_GB2312" w:cs="仿宋_GB2312"/>
                <w:sz w:val="21"/>
              </w:rPr>
              <w:t>1.1根据采购人要求提供各类规格的辅材(包含纱块、纱布、棉球、大小棉签、显影双纱等)、纱布块基材为医用脱脂纱布，应符合《脱脂棉纱布、脱脂棉粘胶混纺纱布的性能要求和试验方法》（YY/T 0331-2024）标准的要求，纱布应柔软、无臭、无味、纱布块折叠平整，不得有毛边、毛茬外露、散线头；腹巾（盐水垫）显影双纱折边，带显影线。</w:t>
            </w:r>
          </w:p>
          <w:p>
            <w:pPr>
              <w:pStyle w:val="6"/>
              <w:ind w:left="105"/>
              <w:jc w:val="left"/>
            </w:pPr>
            <w:r>
              <w:rPr>
                <w:rFonts w:ascii="仿宋_GB2312" w:hAnsi="仿宋_GB2312" w:eastAsia="仿宋_GB2312" w:cs="仿宋_GB2312"/>
                <w:sz w:val="21"/>
              </w:rPr>
              <w:t>1.2包装应符合《最终灭菌医疗器械包装 第1部分：材料、无菌屏障系统和包装系统的要求》（GB/T 19633.1-2015）《最终灭菌医疗器械包装 第2部分：成形、密封和装配过程的确认的要求》（GB/T 19633.2-2015）《医院消毒供应中心 第2部分：清洗消毒及灭菌技术操作规范》（WS310.2-2016）等标准规范要求。</w:t>
            </w:r>
          </w:p>
          <w:p>
            <w:pPr>
              <w:pStyle w:val="6"/>
              <w:ind w:left="105"/>
              <w:jc w:val="left"/>
            </w:pPr>
            <w:r>
              <w:rPr>
                <w:rFonts w:ascii="仿宋_GB2312" w:hAnsi="仿宋_GB2312" w:eastAsia="仿宋_GB2312" w:cs="仿宋_GB2312"/>
                <w:b/>
                <w:sz w:val="21"/>
              </w:rPr>
              <w:t>2. 服务时间：</w:t>
            </w:r>
          </w:p>
          <w:p>
            <w:pPr>
              <w:pStyle w:val="6"/>
              <w:ind w:left="105"/>
              <w:jc w:val="left"/>
            </w:pPr>
            <w:r>
              <w:rPr>
                <w:rFonts w:ascii="仿宋_GB2312" w:hAnsi="仿宋_GB2312" w:eastAsia="仿宋_GB2312" w:cs="仿宋_GB2312"/>
                <w:sz w:val="21"/>
              </w:rPr>
              <w:t>2.1 物流配送频次：集中配送无菌</w:t>
            </w:r>
            <w:r>
              <w:rPr>
                <w:rFonts w:ascii="仿宋_GB2312" w:hAnsi="仿宋_GB2312" w:eastAsia="仿宋_GB2312" w:cs="仿宋_GB2312"/>
                <w:color w:val="000000" w:themeColor="text1"/>
                <w:sz w:val="21"/>
                <w14:textFill>
                  <w14:solidFill>
                    <w14:schemeClr w14:val="tx1"/>
                  </w14:solidFill>
                </w14:textFill>
              </w:rPr>
              <w:t>包每</w:t>
            </w:r>
            <w:r>
              <w:rPr>
                <w:rFonts w:hint="eastAsia" w:ascii="仿宋_GB2312" w:hAnsi="仿宋_GB2312" w:eastAsia="仿宋_GB2312" w:cs="仿宋_GB2312"/>
                <w:color w:val="000000" w:themeColor="text1"/>
                <w:sz w:val="21"/>
                <w:lang w:val="en-US" w:eastAsia="zh-CN"/>
                <w14:textFill>
                  <w14:solidFill>
                    <w14:schemeClr w14:val="tx1"/>
                  </w14:solidFill>
                </w14:textFill>
              </w:rPr>
              <w:t>周</w:t>
            </w:r>
            <w:r>
              <w:rPr>
                <w:rFonts w:hint="default" w:ascii="Arial" w:hAnsi="Arial" w:eastAsia="仿宋_GB2312" w:cs="Arial"/>
                <w:color w:val="000000" w:themeColor="text1"/>
                <w:sz w:val="21"/>
                <w:lang w:val="en-US" w:eastAsia="zh-CN"/>
                <w14:textFill>
                  <w14:solidFill>
                    <w14:schemeClr w14:val="tx1"/>
                  </w14:solidFill>
                </w14:textFill>
              </w:rPr>
              <w:t>≥</w:t>
            </w:r>
            <w:r>
              <w:rPr>
                <w:rFonts w:ascii="仿宋_GB2312" w:hAnsi="仿宋_GB2312" w:eastAsia="仿宋_GB2312" w:cs="仿宋_GB2312"/>
                <w:color w:val="000000" w:themeColor="text1"/>
                <w:sz w:val="21"/>
                <w14:textFill>
                  <w14:solidFill>
                    <w14:schemeClr w14:val="tx1"/>
                  </w14:solidFill>
                </w14:textFill>
              </w:rPr>
              <w:t>2次，</w:t>
            </w:r>
            <w:r>
              <w:rPr>
                <w:rFonts w:ascii="仿宋_GB2312" w:hAnsi="仿宋_GB2312" w:eastAsia="仿宋_GB2312" w:cs="仿宋_GB2312"/>
                <w:sz w:val="21"/>
              </w:rPr>
              <w:t>集中回收污染器械每</w:t>
            </w:r>
            <w:r>
              <w:rPr>
                <w:rFonts w:hint="eastAsia" w:ascii="仿宋_GB2312" w:hAnsi="仿宋_GB2312" w:eastAsia="仿宋_GB2312" w:cs="仿宋_GB2312"/>
                <w:sz w:val="21"/>
                <w:lang w:val="en-US" w:eastAsia="zh-CN"/>
              </w:rPr>
              <w:t>周</w:t>
            </w:r>
            <w:r>
              <w:rPr>
                <w:rFonts w:hint="default" w:ascii="Arial" w:hAnsi="Arial" w:eastAsia="仿宋_GB2312" w:cs="Arial"/>
                <w:color w:val="000000" w:themeColor="text1"/>
                <w:sz w:val="21"/>
                <w:lang w:val="en-US" w:eastAsia="zh-CN"/>
                <w14:textFill>
                  <w14:solidFill>
                    <w14:schemeClr w14:val="tx1"/>
                  </w14:solidFill>
                </w14:textFill>
              </w:rPr>
              <w:t>≥</w:t>
            </w:r>
            <w:r>
              <w:rPr>
                <w:rFonts w:ascii="仿宋_GB2312" w:hAnsi="仿宋_GB2312" w:eastAsia="仿宋_GB2312" w:cs="仿宋_GB2312"/>
                <w:sz w:val="21"/>
              </w:rPr>
              <w:t>2次。收送频次必须满足采购人要求。</w:t>
            </w:r>
          </w:p>
          <w:p>
            <w:pPr>
              <w:pStyle w:val="6"/>
              <w:ind w:left="105"/>
              <w:jc w:val="left"/>
              <w:rPr>
                <w:rFonts w:hint="eastAsia" w:eastAsia="仿宋_GB2312"/>
                <w:lang w:eastAsia="zh-CN"/>
              </w:rPr>
            </w:pPr>
            <w:r>
              <w:rPr>
                <w:rFonts w:ascii="仿宋_GB2312" w:hAnsi="仿宋_GB2312" w:eastAsia="仿宋_GB2312" w:cs="仿宋_GB2312"/>
                <w:sz w:val="21"/>
              </w:rPr>
              <w:t>2.2 保证采购人的临床手术使用需求，并提供365天*24小时紧急服务，必须在通知后</w:t>
            </w:r>
            <w:r>
              <w:rPr>
                <w:rFonts w:hint="eastAsia" w:ascii="仿宋_GB2312" w:hAnsi="仿宋_GB2312" w:eastAsia="仿宋_GB2312" w:cs="仿宋_GB2312"/>
                <w:sz w:val="21"/>
                <w:lang w:val="en-US" w:eastAsia="zh-CN"/>
              </w:rPr>
              <w:t>2小时内收取，</w:t>
            </w:r>
            <w:r>
              <w:rPr>
                <w:rFonts w:ascii="仿宋_GB2312" w:hAnsi="仿宋_GB2312" w:eastAsia="仿宋_GB2312" w:cs="仿宋_GB2312"/>
                <w:sz w:val="21"/>
              </w:rPr>
              <w:t>3小时内送达</w:t>
            </w:r>
            <w:r>
              <w:rPr>
                <w:rFonts w:hint="eastAsia" w:ascii="仿宋_GB2312" w:hAnsi="仿宋_GB2312" w:eastAsia="仿宋_GB2312" w:cs="仿宋_GB2312"/>
                <w:sz w:val="21"/>
                <w:lang w:eastAsia="zh-CN"/>
              </w:rPr>
              <w:t>采购人制定地方（取送均含物流时间）</w:t>
            </w:r>
            <w:r>
              <w:rPr>
                <w:rFonts w:ascii="仿宋_GB2312" w:hAnsi="仿宋_GB2312" w:eastAsia="仿宋_GB2312" w:cs="仿宋_GB2312"/>
                <w:sz w:val="21"/>
              </w:rPr>
              <w:t>，</w:t>
            </w:r>
            <w:r>
              <w:rPr>
                <w:rFonts w:ascii="仿宋_GB2312" w:hAnsi="仿宋_GB2312" w:eastAsia="仿宋_GB2312" w:cs="仿宋_GB2312"/>
                <w:sz w:val="21"/>
                <w:highlight w:val="none"/>
              </w:rPr>
              <w:t>因送达不及时导致的一切后果由</w:t>
            </w:r>
            <w:r>
              <w:rPr>
                <w:rFonts w:hint="eastAsia" w:ascii="仿宋_GB2312" w:hAnsi="仿宋_GB2312" w:eastAsia="仿宋_GB2312" w:cs="仿宋_GB2312"/>
                <w:sz w:val="21"/>
                <w:highlight w:val="none"/>
                <w:lang w:eastAsia="zh-CN"/>
              </w:rPr>
              <w:t>供应商</w:t>
            </w:r>
            <w:r>
              <w:rPr>
                <w:rFonts w:ascii="仿宋_GB2312" w:hAnsi="仿宋_GB2312" w:eastAsia="仿宋_GB2312" w:cs="仿宋_GB2312"/>
                <w:sz w:val="21"/>
                <w:highlight w:val="none"/>
              </w:rPr>
              <w:t>承担</w:t>
            </w:r>
            <w:r>
              <w:rPr>
                <w:rFonts w:ascii="仿宋_GB2312" w:hAnsi="仿宋_GB2312" w:eastAsia="仿宋_GB2312" w:cs="仿宋_GB2312"/>
                <w:sz w:val="21"/>
              </w:rPr>
              <w:t>。</w:t>
            </w:r>
            <w:r>
              <w:rPr>
                <w:rFonts w:hint="eastAsia" w:ascii="仿宋_GB2312" w:hAnsi="仿宋_GB2312" w:eastAsia="仿宋_GB2312" w:cs="仿宋_GB2312"/>
                <w:sz w:val="21"/>
                <w:lang w:eastAsia="zh-CN"/>
              </w:rPr>
              <w:t>（提供承诺函，格式自拟）</w:t>
            </w:r>
          </w:p>
          <w:p>
            <w:pPr>
              <w:pStyle w:val="6"/>
              <w:ind w:left="105"/>
              <w:jc w:val="left"/>
            </w:pPr>
            <w:r>
              <w:rPr>
                <w:rFonts w:ascii="仿宋_GB2312" w:hAnsi="仿宋_GB2312" w:eastAsia="仿宋_GB2312" w:cs="仿宋_GB2312"/>
                <w:b/>
                <w:color w:val="000000"/>
                <w:sz w:val="21"/>
              </w:rPr>
              <w:t>3.服务能力：</w:t>
            </w:r>
          </w:p>
          <w:p>
            <w:pPr>
              <w:pStyle w:val="6"/>
              <w:ind w:left="105"/>
              <w:jc w:val="left"/>
            </w:pPr>
            <w:r>
              <w:rPr>
                <w:rFonts w:ascii="仿宋_GB2312" w:hAnsi="仿宋_GB2312" w:eastAsia="仿宋_GB2312" w:cs="仿宋_GB2312"/>
                <w:color w:val="000000"/>
                <w:sz w:val="21"/>
              </w:rPr>
              <w:t xml:space="preserve">3.1 </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应具有相应的场地配置、硬件设备配置及人员配置，须符合《卫生健康委关于印发医疗消毒供应中心等三类医疗机构基本标准和管理规范（试行）的通知》（国卫医发〔2018〕11 号）文件中医疗消毒供应中心基本标准（试行）规定的基本设施、人员配置、基本设备等要求。</w:t>
            </w:r>
          </w:p>
          <w:p>
            <w:pPr>
              <w:pStyle w:val="6"/>
              <w:ind w:left="105"/>
              <w:jc w:val="left"/>
            </w:pPr>
            <w:r>
              <w:rPr>
                <w:rFonts w:ascii="仿宋_GB2312" w:hAnsi="仿宋_GB2312" w:eastAsia="仿宋_GB2312" w:cs="仿宋_GB2312"/>
                <w:color w:val="000000"/>
                <w:sz w:val="21"/>
              </w:rPr>
              <w:t>3.2</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满足（国卫医发〔2018〕11 号）文件中关于“硬器械清洗消毒流水线”的规范要求。</w:t>
            </w:r>
          </w:p>
          <w:p>
            <w:pPr>
              <w:pStyle w:val="6"/>
              <w:ind w:left="105"/>
              <w:jc w:val="left"/>
            </w:pPr>
            <w:r>
              <w:rPr>
                <w:rFonts w:ascii="仿宋_GB2312" w:hAnsi="仿宋_GB2312" w:eastAsia="仿宋_GB2312" w:cs="仿宋_GB2312"/>
                <w:color w:val="000000"/>
                <w:sz w:val="21"/>
              </w:rPr>
              <w:t>3.3满足硬器械、软器械、软式内镜处理标准流水线。</w:t>
            </w:r>
            <w:r>
              <w:rPr>
                <w:rFonts w:ascii="仿宋_GB2312" w:hAnsi="仿宋_GB2312" w:eastAsia="仿宋_GB2312" w:cs="仿宋_GB2312"/>
                <w:b/>
                <w:color w:val="000000"/>
                <w:sz w:val="21"/>
              </w:rPr>
              <w:t>（须提供平面设计图、现场图片与承诺函）</w:t>
            </w:r>
          </w:p>
          <w:p>
            <w:pPr>
              <w:pStyle w:val="6"/>
              <w:ind w:left="105"/>
              <w:jc w:val="left"/>
            </w:pPr>
            <w:r>
              <w:rPr>
                <w:rFonts w:ascii="仿宋_GB2312" w:hAnsi="仿宋_GB2312" w:eastAsia="仿宋_GB2312" w:cs="仿宋_GB2312"/>
                <w:b/>
                <w:color w:val="000000"/>
                <w:sz w:val="21"/>
              </w:rPr>
              <w:t>3.6 人员配置要求：</w:t>
            </w:r>
          </w:p>
          <w:p>
            <w:pPr>
              <w:pStyle w:val="6"/>
              <w:ind w:left="105"/>
              <w:jc w:val="left"/>
            </w:pPr>
            <w:r>
              <w:rPr>
                <w:rFonts w:ascii="仿宋_GB2312" w:hAnsi="仿宋_GB2312" w:eastAsia="仿宋_GB2312" w:cs="仿宋_GB2312"/>
                <w:color w:val="000000"/>
                <w:sz w:val="21"/>
              </w:rPr>
              <w:t xml:space="preserve">3.6.1 </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指派专人与采购人负责沟通联络应急处理及日常事务，</w:t>
            </w:r>
            <w:r>
              <w:rPr>
                <w:rFonts w:ascii="仿宋_GB2312" w:hAnsi="仿宋_GB2312" w:eastAsia="仿宋_GB2312" w:cs="仿宋_GB2312"/>
                <w:color w:val="FF0000"/>
                <w:sz w:val="21"/>
              </w:rPr>
              <w:t>列出专人的姓名、联系方式</w:t>
            </w:r>
            <w:r>
              <w:rPr>
                <w:rFonts w:ascii="仿宋_GB2312" w:hAnsi="仿宋_GB2312" w:eastAsia="仿宋_GB2312" w:cs="仿宋_GB2312"/>
                <w:color w:val="000000"/>
                <w:sz w:val="21"/>
              </w:rPr>
              <w:t>。</w:t>
            </w:r>
          </w:p>
          <w:p>
            <w:pPr>
              <w:pageBreakBefore w:val="0"/>
              <w:widowControl w:val="0"/>
              <w:kinsoku/>
              <w:wordWrap/>
              <w:overflowPunct/>
              <w:topLinePunct w:val="0"/>
              <w:autoSpaceDE/>
              <w:autoSpaceDN/>
              <w:bidi w:val="0"/>
              <w:adjustRightInd/>
              <w:snapToGrid/>
              <w:spacing w:line="560" w:lineRule="exact"/>
              <w:ind w:firstLine="420" w:firstLineChars="200"/>
              <w:textAlignment w:val="auto"/>
              <w:rPr>
                <w:color w:val="FF0000"/>
              </w:rPr>
            </w:pPr>
            <w:r>
              <w:rPr>
                <w:rFonts w:ascii="仿宋_GB2312" w:hAnsi="仿宋_GB2312" w:eastAsia="仿宋_GB2312" w:cs="仿宋_GB2312"/>
                <w:color w:val="000000"/>
                <w:sz w:val="21"/>
              </w:rPr>
              <w:t>3.6.2 项目配置的工作人员、数量、专业等均须满足本项目服务实施岗位工作要求，</w:t>
            </w:r>
            <w:r>
              <w:rPr>
                <w:rFonts w:hint="eastAsia" w:ascii="仿宋_GB2312" w:hAnsi="仿宋_GB2312" w:eastAsia="仿宋_GB2312" w:cs="仿宋_GB2312"/>
                <w:b w:val="0"/>
                <w:bCs w:val="0"/>
                <w:sz w:val="21"/>
                <w:szCs w:val="21"/>
                <w:lang w:val="en-US" w:eastAsia="zh-CN"/>
              </w:rPr>
              <w:t>至少有 1 名具有消毒供应管理经验的中级及以上专业技术职务任职资格的人员及1名具有消毒供应中心专科护士或2年以上医院感染管理经验的服务人员，</w:t>
            </w:r>
            <w:r>
              <w:rPr>
                <w:rFonts w:ascii="仿宋_GB2312" w:hAnsi="仿宋_GB2312" w:eastAsia="仿宋_GB2312" w:cs="仿宋_GB2312"/>
                <w:color w:val="000000" w:themeColor="text1"/>
                <w:sz w:val="21"/>
                <w14:textFill>
                  <w14:solidFill>
                    <w14:schemeClr w14:val="tx1"/>
                  </w14:solidFill>
                </w14:textFill>
              </w:rPr>
              <w:t>其中护士</w:t>
            </w:r>
            <w:r>
              <w:rPr>
                <w:rFonts w:hint="eastAsia" w:ascii="仿宋_GB2312" w:hAnsi="仿宋_GB2312" w:eastAsia="仿宋_GB2312" w:cs="仿宋_GB2312"/>
                <w:color w:val="000000" w:themeColor="text1"/>
                <w:sz w:val="21"/>
                <w:lang w:val="en-US" w:eastAsia="zh-CN"/>
                <w14:textFill>
                  <w14:solidFill>
                    <w14:schemeClr w14:val="tx1"/>
                  </w14:solidFill>
                </w14:textFill>
              </w:rPr>
              <w:t>1名</w:t>
            </w:r>
            <w:r>
              <w:rPr>
                <w:rFonts w:ascii="仿宋_GB2312" w:hAnsi="仿宋_GB2312" w:eastAsia="仿宋_GB2312" w:cs="仿宋_GB2312"/>
                <w:color w:val="000000" w:themeColor="text1"/>
                <w:sz w:val="21"/>
                <w14:textFill>
                  <w14:solidFill>
                    <w14:schemeClr w14:val="tx1"/>
                  </w14:solidFill>
                </w14:textFill>
              </w:rPr>
              <w:t>，</w:t>
            </w:r>
            <w:r>
              <w:rPr>
                <w:rFonts w:ascii="仿宋_GB2312" w:hAnsi="仿宋_GB2312" w:eastAsia="仿宋_GB2312" w:cs="仿宋_GB2312"/>
                <w:color w:val="FF0000"/>
                <w:sz w:val="21"/>
              </w:rPr>
              <w:t>提供人员的聘用合同及护士执业证书复印件。</w:t>
            </w:r>
          </w:p>
          <w:p>
            <w:pPr>
              <w:pStyle w:val="6"/>
              <w:ind w:left="105"/>
              <w:jc w:val="left"/>
            </w:pPr>
            <w:r>
              <w:rPr>
                <w:rFonts w:ascii="仿宋_GB2312" w:hAnsi="仿宋_GB2312" w:eastAsia="仿宋_GB2312" w:cs="仿宋_GB2312"/>
                <w:color w:val="000000"/>
                <w:sz w:val="21"/>
              </w:rPr>
              <w:t>3.6.</w:t>
            </w:r>
            <w:r>
              <w:rPr>
                <w:rFonts w:hint="eastAsia" w:ascii="仿宋_GB2312" w:hAnsi="仿宋_GB2312" w:eastAsia="仿宋_GB2312" w:cs="仿宋_GB2312"/>
                <w:color w:val="000000"/>
                <w:sz w:val="21"/>
                <w:lang w:val="en-US" w:eastAsia="zh-CN"/>
              </w:rPr>
              <w:t>3</w:t>
            </w:r>
            <w:r>
              <w:rPr>
                <w:rFonts w:ascii="仿宋_GB2312" w:hAnsi="仿宋_GB2312" w:eastAsia="仿宋_GB2312" w:cs="仿宋_GB2312"/>
                <w:color w:val="000000"/>
                <w:sz w:val="21"/>
              </w:rPr>
              <w:t xml:space="preserve"> 消毒员：</w:t>
            </w:r>
            <w:r>
              <w:rPr>
                <w:rFonts w:ascii="仿宋_GB2312" w:hAnsi="仿宋_GB2312" w:eastAsia="仿宋_GB2312" w:cs="仿宋_GB2312"/>
                <w:color w:val="000000" w:themeColor="text1"/>
                <w:sz w:val="21"/>
                <w14:textFill>
                  <w14:solidFill>
                    <w14:schemeClr w14:val="tx1"/>
                  </w14:solidFill>
                </w14:textFill>
              </w:rPr>
              <w:t>至少有</w:t>
            </w:r>
            <w:r>
              <w:rPr>
                <w:rFonts w:hint="eastAsia" w:ascii="仿宋_GB2312" w:hAnsi="仿宋_GB2312" w:eastAsia="仿宋_GB2312" w:cs="仿宋_GB2312"/>
                <w:color w:val="000000" w:themeColor="text1"/>
                <w:sz w:val="21"/>
                <w:lang w:val="en-US" w:eastAsia="zh-CN"/>
                <w14:textFill>
                  <w14:solidFill>
                    <w14:schemeClr w14:val="tx1"/>
                  </w14:solidFill>
                </w14:textFill>
              </w:rPr>
              <w:t>1</w:t>
            </w:r>
            <w:r>
              <w:rPr>
                <w:rFonts w:ascii="仿宋_GB2312" w:hAnsi="仿宋_GB2312" w:eastAsia="仿宋_GB2312" w:cs="仿宋_GB2312"/>
                <w:color w:val="000000" w:themeColor="text1"/>
                <w:sz w:val="21"/>
                <w14:textFill>
                  <w14:solidFill>
                    <w14:schemeClr w14:val="tx1"/>
                  </w14:solidFill>
                </w14:textFill>
              </w:rPr>
              <w:t>名且具备《特种设备作业人员证》（压力容器操作项目），熟练掌握各类</w:t>
            </w:r>
            <w:r>
              <w:rPr>
                <w:rFonts w:ascii="仿宋_GB2312" w:hAnsi="仿宋_GB2312" w:eastAsia="仿宋_GB2312" w:cs="仿宋_GB2312"/>
                <w:color w:val="000000"/>
                <w:sz w:val="21"/>
              </w:rPr>
              <w:t>消毒灭菌设备操作技术，</w:t>
            </w:r>
            <w:r>
              <w:rPr>
                <w:rFonts w:ascii="仿宋_GB2312" w:hAnsi="仿宋_GB2312" w:eastAsia="仿宋_GB2312" w:cs="仿宋_GB2312"/>
                <w:color w:val="FF0000"/>
                <w:sz w:val="21"/>
              </w:rPr>
              <w:t>提供人员的聘用合同及前述相应证书复印件</w:t>
            </w:r>
            <w:r>
              <w:rPr>
                <w:rFonts w:ascii="仿宋_GB2312" w:hAnsi="仿宋_GB2312" w:eastAsia="仿宋_GB2312" w:cs="仿宋_GB2312"/>
                <w:color w:val="000000"/>
                <w:sz w:val="21"/>
              </w:rPr>
              <w:t>。</w:t>
            </w:r>
          </w:p>
          <w:p>
            <w:pPr>
              <w:pStyle w:val="6"/>
              <w:ind w:left="105"/>
              <w:jc w:val="left"/>
              <w:rPr>
                <w:rFonts w:hint="eastAsia" w:eastAsia="仿宋_GB2312"/>
                <w:lang w:eastAsia="zh-CN"/>
              </w:rPr>
            </w:pPr>
            <w:r>
              <w:rPr>
                <w:rFonts w:ascii="仿宋_GB2312" w:hAnsi="仿宋_GB2312" w:eastAsia="仿宋_GB2312" w:cs="仿宋_GB2312"/>
                <w:color w:val="000000"/>
                <w:sz w:val="21"/>
              </w:rPr>
              <w:t>3.6.</w:t>
            </w:r>
            <w:r>
              <w:rPr>
                <w:rFonts w:hint="eastAsia" w:ascii="仿宋_GB2312" w:hAnsi="仿宋_GB2312" w:eastAsia="仿宋_GB2312" w:cs="仿宋_GB2312"/>
                <w:color w:val="000000"/>
                <w:sz w:val="21"/>
                <w:lang w:val="en-US" w:eastAsia="zh-CN"/>
              </w:rPr>
              <w:t>4</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应保障其员工及采购人相关人员的人身安全，发生人身损害的，由</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承担全部赔偿责任与采购人无关</w:t>
            </w:r>
            <w:r>
              <w:rPr>
                <w:rFonts w:hint="eastAsia" w:ascii="仿宋_GB2312" w:hAnsi="仿宋_GB2312" w:eastAsia="仿宋_GB2312" w:cs="仿宋_GB2312"/>
                <w:color w:val="FF0000"/>
                <w:sz w:val="21"/>
                <w:lang w:eastAsia="zh-CN"/>
              </w:rPr>
              <w:t>（</w:t>
            </w:r>
            <w:r>
              <w:rPr>
                <w:rFonts w:hint="eastAsia" w:ascii="仿宋_GB2312" w:hAnsi="仿宋_GB2312" w:eastAsia="仿宋_GB2312" w:cs="仿宋_GB2312"/>
                <w:color w:val="FF0000"/>
                <w:sz w:val="21"/>
                <w:lang w:val="en-US" w:eastAsia="zh-CN"/>
              </w:rPr>
              <w:t>提供承诺函</w:t>
            </w:r>
            <w:r>
              <w:rPr>
                <w:rFonts w:hint="eastAsia" w:ascii="仿宋_GB2312" w:hAnsi="仿宋_GB2312" w:eastAsia="仿宋_GB2312" w:cs="仿宋_GB2312"/>
                <w:color w:val="FF0000"/>
                <w:sz w:val="21"/>
                <w:lang w:eastAsia="zh-CN"/>
              </w:rPr>
              <w:t>）</w:t>
            </w:r>
            <w:r>
              <w:rPr>
                <w:rFonts w:hint="eastAsia" w:ascii="仿宋_GB2312" w:hAnsi="仿宋_GB2312" w:eastAsia="仿宋_GB2312" w:cs="仿宋_GB2312"/>
                <w:color w:val="000000"/>
                <w:sz w:val="21"/>
                <w:lang w:eastAsia="zh-CN"/>
              </w:rPr>
              <w:t>。</w:t>
            </w:r>
          </w:p>
          <w:p>
            <w:pPr>
              <w:pStyle w:val="6"/>
              <w:ind w:left="105"/>
              <w:jc w:val="left"/>
            </w:pPr>
            <w:r>
              <w:rPr>
                <w:rFonts w:ascii="仿宋_GB2312" w:hAnsi="仿宋_GB2312" w:eastAsia="仿宋_GB2312" w:cs="仿宋_GB2312"/>
                <w:b/>
                <w:color w:val="000000"/>
                <w:sz w:val="21"/>
              </w:rPr>
              <w:t>4. 物流服务：</w:t>
            </w:r>
          </w:p>
          <w:p>
            <w:pPr>
              <w:pStyle w:val="6"/>
              <w:ind w:left="105"/>
              <w:jc w:val="left"/>
              <w:rPr>
                <w:color w:val="FF0000"/>
              </w:rPr>
            </w:pPr>
            <w:r>
              <w:rPr>
                <w:rFonts w:ascii="仿宋_GB2312" w:hAnsi="仿宋_GB2312" w:eastAsia="仿宋_GB2312" w:cs="仿宋_GB2312"/>
                <w:color w:val="000000"/>
                <w:sz w:val="21"/>
              </w:rPr>
              <w:t xml:space="preserve">4.1 </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应为采购人配置</w:t>
            </w:r>
            <w:r>
              <w:rPr>
                <w:rFonts w:hint="eastAsia" w:ascii="仿宋_GB2312" w:hAnsi="仿宋_GB2312" w:eastAsia="仿宋_GB2312" w:cs="仿宋_GB2312"/>
                <w:color w:val="000000"/>
                <w:sz w:val="21"/>
                <w:lang w:val="en-US" w:eastAsia="zh-CN"/>
              </w:rPr>
              <w:t>符合要求的转运车辆，</w:t>
            </w:r>
            <w:r>
              <w:rPr>
                <w:rFonts w:ascii="仿宋_GB2312" w:hAnsi="仿宋_GB2312" w:eastAsia="仿宋_GB2312" w:cs="仿宋_GB2312"/>
                <w:color w:val="000000"/>
                <w:sz w:val="21"/>
              </w:rPr>
              <w:t>供器械循环运输供应。</w:t>
            </w:r>
            <w:r>
              <w:rPr>
                <w:rFonts w:ascii="仿宋_GB2312" w:hAnsi="仿宋_GB2312" w:eastAsia="仿宋_GB2312" w:cs="仿宋_GB2312"/>
                <w:b/>
                <w:color w:val="FF0000"/>
                <w:sz w:val="21"/>
              </w:rPr>
              <w:t>（须提供车辆的实物照片、</w:t>
            </w:r>
            <w:r>
              <w:rPr>
                <w:rFonts w:hint="eastAsia" w:ascii="仿宋_GB2312" w:hAnsi="仿宋_GB2312" w:eastAsia="仿宋_GB2312" w:cs="仿宋_GB2312"/>
                <w:b/>
                <w:color w:val="FF0000"/>
                <w:sz w:val="21"/>
                <w:lang w:val="en-US" w:eastAsia="zh-CN"/>
              </w:rPr>
              <w:t>行驶证</w:t>
            </w:r>
            <w:r>
              <w:rPr>
                <w:rFonts w:ascii="仿宋_GB2312" w:hAnsi="仿宋_GB2312" w:eastAsia="仿宋_GB2312" w:cs="仿宋_GB2312"/>
                <w:b/>
                <w:color w:val="FF0000"/>
                <w:sz w:val="21"/>
              </w:rPr>
              <w:t>或租赁合同复印件）</w:t>
            </w:r>
          </w:p>
          <w:p>
            <w:pPr>
              <w:pStyle w:val="6"/>
              <w:ind w:left="105"/>
              <w:jc w:val="left"/>
            </w:pPr>
            <w:r>
              <w:rPr>
                <w:rFonts w:ascii="仿宋_GB2312" w:hAnsi="仿宋_GB2312" w:eastAsia="仿宋_GB2312" w:cs="仿宋_GB2312"/>
                <w:color w:val="000000"/>
                <w:sz w:val="21"/>
              </w:rPr>
              <w:t xml:space="preserve">4.2 </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为采购人配置全院下收下送工人，满足院内器械与敷料包收发与交接。</w:t>
            </w:r>
          </w:p>
          <w:p>
            <w:pPr>
              <w:pStyle w:val="6"/>
              <w:ind w:left="105"/>
              <w:jc w:val="left"/>
            </w:pPr>
            <w:r>
              <w:rPr>
                <w:rFonts w:ascii="仿宋_GB2312" w:hAnsi="仿宋_GB2312" w:eastAsia="仿宋_GB2312" w:cs="仿宋_GB2312"/>
                <w:color w:val="000000"/>
                <w:sz w:val="21"/>
              </w:rPr>
              <w:t xml:space="preserve">4.3 </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应对回收或转运工具（转运车、转运箱）每次使用后立即清洗和消毒处理，干燥备用，符合院感管理规范《消毒供应质量管理及评价 第2部分：区域化消毒供应业务》（T/CRHA 063.2-2024）要求。</w:t>
            </w:r>
          </w:p>
          <w:p>
            <w:pPr>
              <w:pStyle w:val="6"/>
              <w:ind w:left="105"/>
              <w:jc w:val="left"/>
            </w:pPr>
            <w:r>
              <w:rPr>
                <w:rFonts w:ascii="仿宋_GB2312" w:hAnsi="仿宋_GB2312" w:eastAsia="仿宋_GB2312" w:cs="仿宋_GB2312"/>
                <w:color w:val="000000"/>
                <w:sz w:val="21"/>
              </w:rPr>
              <w:t xml:space="preserve">4.4 </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应按采购人实际需求提供服务。因物流配送延误、错发漏发等问题影响采购人医疗工作的，</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须承担由此产生的全部责任及实际损失。</w:t>
            </w:r>
          </w:p>
          <w:p>
            <w:pPr>
              <w:pStyle w:val="6"/>
              <w:ind w:left="105"/>
              <w:jc w:val="left"/>
            </w:pPr>
            <w:r>
              <w:rPr>
                <w:rFonts w:ascii="仿宋_GB2312" w:hAnsi="仿宋_GB2312" w:eastAsia="仿宋_GB2312" w:cs="仿宋_GB2312"/>
                <w:b/>
                <w:color w:val="000000"/>
                <w:sz w:val="21"/>
              </w:rPr>
              <w:t>5. 应急保障能力</w:t>
            </w:r>
          </w:p>
          <w:p>
            <w:pPr>
              <w:pStyle w:val="6"/>
              <w:ind w:left="105"/>
              <w:jc w:val="left"/>
            </w:pPr>
            <w:r>
              <w:rPr>
                <w:rFonts w:ascii="仿宋_GB2312" w:hAnsi="仿宋_GB2312" w:eastAsia="仿宋_GB2312" w:cs="仿宋_GB2312"/>
                <w:color w:val="000000"/>
                <w:sz w:val="21"/>
              </w:rPr>
              <w:t xml:space="preserve">5.1 </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应具有充分的后勤保障能力，核心后勤保障设备设施(如电力供应设备、净水处理设备、蒸汽供应设备等)</w:t>
            </w:r>
            <w:r>
              <w:rPr>
                <w:rFonts w:hint="eastAsia" w:ascii="仿宋_GB2312" w:hAnsi="仿宋_GB2312" w:eastAsia="仿宋_GB2312" w:cs="仿宋_GB2312"/>
                <w:color w:val="000000"/>
                <w:sz w:val="21"/>
                <w:lang w:val="en-US" w:eastAsia="zh-CN"/>
              </w:rPr>
              <w:t>做到</w:t>
            </w:r>
            <w:r>
              <w:rPr>
                <w:rFonts w:ascii="仿宋_GB2312" w:hAnsi="仿宋_GB2312" w:eastAsia="仿宋_GB2312" w:cs="仿宋_GB2312"/>
                <w:color w:val="000000"/>
                <w:sz w:val="21"/>
              </w:rPr>
              <w:t>即使市政停水、停电、停气，也能为采购人提供持续的消毒灭菌服务。</w:t>
            </w:r>
          </w:p>
          <w:p>
            <w:pPr>
              <w:pStyle w:val="6"/>
              <w:ind w:left="105"/>
              <w:jc w:val="left"/>
            </w:pPr>
            <w:r>
              <w:rPr>
                <w:rFonts w:ascii="仿宋_GB2312" w:hAnsi="仿宋_GB2312" w:eastAsia="仿宋_GB2312" w:cs="仿宋_GB2312"/>
                <w:color w:val="000000"/>
                <w:sz w:val="21"/>
              </w:rPr>
              <w:t xml:space="preserve">5.2 </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应具备针对火灾、地震等不可抗力情况下的应急服务保障能力，且应急保障服务时间不超过2小时。</w:t>
            </w:r>
          </w:p>
          <w:p>
            <w:pPr>
              <w:pStyle w:val="6"/>
              <w:ind w:left="105"/>
              <w:jc w:val="left"/>
            </w:pPr>
            <w:r>
              <w:rPr>
                <w:rFonts w:ascii="仿宋_GB2312" w:hAnsi="仿宋_GB2312" w:eastAsia="仿宋_GB2312" w:cs="仿宋_GB2312"/>
                <w:color w:val="000000"/>
                <w:sz w:val="21"/>
              </w:rPr>
              <w:t xml:space="preserve">5.3 </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须确保在发生突发状况（如：急诊手术激增、临时疫情防控需求等情况下），10分钟内完成需求对接；同时，应建立紧急订单绿色通道 ，针对临床急需的灭菌器械、无菌物品等，启动“优先处理-加急灭菌-专人配送”三级响应机制，3小时内完成从接单到交付的的全流程，最大限度满足临床需求。</w:t>
            </w:r>
          </w:p>
          <w:p>
            <w:pPr>
              <w:pStyle w:val="6"/>
              <w:ind w:left="105"/>
              <w:jc w:val="left"/>
            </w:pPr>
            <w:r>
              <w:rPr>
                <w:rFonts w:ascii="仿宋_GB2312" w:hAnsi="仿宋_GB2312" w:eastAsia="仿宋_GB2312" w:cs="仿宋_GB2312"/>
                <w:b/>
                <w:color w:val="000000"/>
                <w:sz w:val="21"/>
              </w:rPr>
              <w:t>6. 器械清点及管理：</w:t>
            </w:r>
          </w:p>
          <w:p>
            <w:pPr>
              <w:pStyle w:val="6"/>
              <w:ind w:left="105"/>
              <w:jc w:val="left"/>
            </w:pPr>
            <w:r>
              <w:rPr>
                <w:rFonts w:ascii="仿宋_GB2312" w:hAnsi="仿宋_GB2312" w:eastAsia="仿宋_GB2312" w:cs="仿宋_GB2312"/>
                <w:color w:val="000000"/>
                <w:sz w:val="21"/>
              </w:rPr>
              <w:t>6.1 因器械运输周期和消供效率引发的器械添置，由</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补充。</w:t>
            </w:r>
          </w:p>
          <w:p>
            <w:pPr>
              <w:pStyle w:val="6"/>
              <w:ind w:left="105"/>
              <w:jc w:val="left"/>
            </w:pPr>
            <w:r>
              <w:rPr>
                <w:rFonts w:ascii="仿宋_GB2312" w:hAnsi="仿宋_GB2312" w:eastAsia="仿宋_GB2312" w:cs="仿宋_GB2312"/>
                <w:color w:val="000000"/>
                <w:sz w:val="21"/>
              </w:rPr>
              <w:t>6.2 出现器械损坏、丢失等情况，应以事实为依据，明确责任：①在污物器械交接清点时，若发现损坏、丢失，由采购人承担。②在运输、清洗、检查包装等环节中出现损坏、丢失，由</w:t>
            </w:r>
            <w:r>
              <w:rPr>
                <w:rFonts w:hint="eastAsia" w:ascii="仿宋_GB2312" w:hAnsi="仿宋_GB2312" w:eastAsia="仿宋_GB2312" w:cs="仿宋_GB2312"/>
                <w:color w:val="000000"/>
                <w:sz w:val="21"/>
                <w:lang w:val="en-US" w:eastAsia="zh-CN"/>
              </w:rPr>
              <w:t>供应商</w:t>
            </w:r>
            <w:r>
              <w:rPr>
                <w:rFonts w:ascii="仿宋_GB2312" w:hAnsi="仿宋_GB2312" w:eastAsia="仿宋_GB2312" w:cs="仿宋_GB2312"/>
                <w:color w:val="000000"/>
                <w:sz w:val="21"/>
              </w:rPr>
              <w:t>承担。③采购人在使用前发现损坏、丢失、清洗质量等问题（及时拍照并与</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沟通确认）由</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承担。若发生器械损坏，</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应优先安排维修；无法修复的，依据器械维修成本、购置成本，在</w:t>
            </w:r>
            <w:r>
              <w:rPr>
                <w:rFonts w:hint="eastAsia" w:ascii="仿宋_GB2312" w:hAnsi="仿宋_GB2312" w:eastAsia="仿宋_GB2312" w:cs="仿宋_GB2312"/>
                <w:color w:val="000000"/>
                <w:sz w:val="21"/>
                <w:lang w:val="en-US" w:eastAsia="zh-CN"/>
              </w:rPr>
              <w:t>季</w:t>
            </w:r>
            <w:r>
              <w:rPr>
                <w:rFonts w:ascii="仿宋_GB2312" w:hAnsi="仿宋_GB2312" w:eastAsia="仿宋_GB2312" w:cs="仿宋_GB2312"/>
                <w:color w:val="000000"/>
                <w:sz w:val="21"/>
              </w:rPr>
              <w:t>度服务费支付中抵扣。</w:t>
            </w:r>
          </w:p>
          <w:p>
            <w:pPr>
              <w:pStyle w:val="6"/>
              <w:ind w:left="105" w:right="15"/>
              <w:jc w:val="left"/>
            </w:pPr>
            <w:r>
              <w:rPr>
                <w:rFonts w:ascii="仿宋_GB2312" w:hAnsi="仿宋_GB2312" w:eastAsia="仿宋_GB2312" w:cs="仿宋_GB2312"/>
                <w:sz w:val="21"/>
              </w:rPr>
              <w:t xml:space="preserve">6.3 </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对消毒供应服务全流程（含运输、清洗、检查包装等环节）中器械、物品的完整性、安全性承担全部法律责任。</w:t>
            </w:r>
          </w:p>
          <w:p>
            <w:pPr>
              <w:pStyle w:val="6"/>
              <w:ind w:left="105" w:right="15"/>
              <w:jc w:val="left"/>
            </w:pPr>
            <w:r>
              <w:rPr>
                <w:rFonts w:ascii="仿宋_GB2312" w:hAnsi="仿宋_GB2312" w:eastAsia="仿宋_GB2312" w:cs="仿宋_GB2312"/>
                <w:sz w:val="21"/>
              </w:rPr>
              <w:t>6.4 无需当面清点器械，清点全程通过高清摄像头进行实时视频监控记录。其中器械的清点初检工作，在器械包运达3小时内完成，清点中若出现问题，</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应在器械包运达3小时内向采购人反馈，所有沟通均需留存记录</w:t>
            </w:r>
          </w:p>
          <w:p>
            <w:pPr>
              <w:pStyle w:val="6"/>
              <w:ind w:left="105"/>
              <w:jc w:val="left"/>
            </w:pPr>
            <w:r>
              <w:rPr>
                <w:rFonts w:ascii="仿宋_GB2312" w:hAnsi="仿宋_GB2312" w:eastAsia="仿宋_GB2312" w:cs="仿宋_GB2312"/>
                <w:b/>
                <w:color w:val="000000"/>
                <w:sz w:val="21"/>
              </w:rPr>
              <w:t>7. 追溯能力</w:t>
            </w:r>
          </w:p>
          <w:p>
            <w:pPr>
              <w:pStyle w:val="6"/>
              <w:ind w:left="105"/>
              <w:jc w:val="left"/>
              <w:rPr>
                <w:color w:val="FF0000"/>
              </w:rPr>
            </w:pPr>
            <w:r>
              <w:rPr>
                <w:rFonts w:ascii="仿宋_GB2312" w:hAnsi="仿宋_GB2312" w:eastAsia="仿宋_GB2312" w:cs="仿宋_GB2312"/>
                <w:color w:val="000000"/>
                <w:sz w:val="21"/>
              </w:rPr>
              <w:t xml:space="preserve">7.1 </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应配置电子追溯系统，实现手术器械建立电子追溯档案，并能够追踪每一包手术器械在整个流程中的处理时间，同时记录处理该器械包的相关人员、消毒/灭菌机器设备的电子追溯信息，便于日后相关数据的查询与追溯。</w:t>
            </w:r>
            <w:r>
              <w:rPr>
                <w:rFonts w:ascii="仿宋_GB2312" w:hAnsi="仿宋_GB2312" w:eastAsia="仿宋_GB2312" w:cs="仿宋_GB2312"/>
                <w:b/>
                <w:color w:val="FF0000"/>
                <w:sz w:val="21"/>
              </w:rPr>
              <w:t>（提供追溯系统截图）</w:t>
            </w:r>
          </w:p>
          <w:p>
            <w:pPr>
              <w:pStyle w:val="6"/>
              <w:ind w:left="105"/>
              <w:jc w:val="left"/>
              <w:rPr>
                <w:rFonts w:ascii="仿宋_GB2312" w:hAnsi="仿宋_GB2312" w:eastAsia="仿宋_GB2312" w:cs="仿宋_GB2312"/>
                <w:color w:val="000000"/>
                <w:sz w:val="21"/>
              </w:rPr>
            </w:pPr>
            <w:r>
              <w:rPr>
                <w:rFonts w:ascii="仿宋_GB2312" w:hAnsi="仿宋_GB2312" w:eastAsia="仿宋_GB2312" w:cs="仿宋_GB2312"/>
                <w:color w:val="000000"/>
                <w:sz w:val="21"/>
              </w:rPr>
              <w:t>7.2 系统配置：</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须配备符合《消毒供应质量管理及评价第2部分：区域化消毒供应业务》（T/CRHA 063.2-2024）等标准要求的</w:t>
            </w:r>
            <w:r>
              <w:rPr>
                <w:rFonts w:ascii="仿宋_GB2312" w:hAnsi="仿宋_GB2312" w:eastAsia="仿宋_GB2312" w:cs="仿宋_GB2312"/>
                <w:color w:val="auto"/>
                <w:sz w:val="21"/>
              </w:rPr>
              <w:t>专业电子追溯系统，</w:t>
            </w:r>
            <w:r>
              <w:rPr>
                <w:rFonts w:ascii="仿宋_GB2312" w:hAnsi="仿宋_GB2312" w:eastAsia="仿宋_GB2312" w:cs="仿宋_GB2312"/>
                <w:color w:val="000000"/>
                <w:sz w:val="21"/>
              </w:rPr>
              <w:t>该系统应具备对每个灭菌包从回收、分类、清洗、消毒、检查、包装、灭菌、发放及使用科室的全流程信息实时采集、存储、查询功能。系统须详细记录操作人员信息、操作时间及关键工艺参数（如温度、压力、时间等），确保各环节数据真实、准确、完整，实现质量问题的快速定位与责任追溯。</w:t>
            </w:r>
          </w:p>
          <w:p>
            <w:pPr>
              <w:pStyle w:val="6"/>
              <w:ind w:left="105"/>
              <w:jc w:val="left"/>
            </w:pPr>
            <w:r>
              <w:rPr>
                <w:rFonts w:ascii="仿宋_GB2312" w:hAnsi="仿宋_GB2312" w:eastAsia="仿宋_GB2312" w:cs="仿宋_GB2312"/>
                <w:color w:val="000000"/>
                <w:sz w:val="21"/>
              </w:rPr>
              <w:t>7.3 数据管理：</w:t>
            </w:r>
            <w:r>
              <w:rPr>
                <w:rFonts w:hint="eastAsia" w:ascii="仿宋_GB2312" w:hAnsi="仿宋_GB2312" w:eastAsia="仿宋_GB2312" w:cs="仿宋_GB2312"/>
                <w:color w:val="auto"/>
                <w:sz w:val="21"/>
                <w:lang w:eastAsia="zh-CN"/>
              </w:rPr>
              <w:t>供应商</w:t>
            </w:r>
            <w:r>
              <w:rPr>
                <w:rFonts w:ascii="仿宋_GB2312" w:hAnsi="仿宋_GB2312" w:eastAsia="仿宋_GB2312" w:cs="仿宋_GB2312"/>
                <w:color w:val="auto"/>
                <w:sz w:val="21"/>
              </w:rPr>
              <w:t>须确保灭菌监测资料自生成之日起至少保存3年，清洗监测资料至少保存6个月</w:t>
            </w:r>
            <w:r>
              <w:rPr>
                <w:rFonts w:ascii="仿宋_GB2312" w:hAnsi="仿宋_GB2312" w:eastAsia="仿宋_GB2312" w:cs="仿宋_GB2312"/>
                <w:color w:val="000000"/>
                <w:sz w:val="21"/>
              </w:rPr>
              <w:t>。数据存储应采用安全可靠的方式，防止数据丢失、篡改或泄露。在采购人需要时，</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须在24小时内通过双方约定的合规方式，向采购人提供完整的追溯数据。</w:t>
            </w:r>
          </w:p>
          <w:p>
            <w:pPr>
              <w:pStyle w:val="6"/>
              <w:ind w:left="105"/>
              <w:jc w:val="left"/>
            </w:pPr>
            <w:r>
              <w:rPr>
                <w:rFonts w:ascii="仿宋_GB2312" w:hAnsi="仿宋_GB2312" w:eastAsia="仿宋_GB2312" w:cs="仿宋_GB2312"/>
                <w:color w:val="000000"/>
                <w:sz w:val="21"/>
              </w:rPr>
              <w:t>7.4若因</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追溯系统故障或数据管理不当，导致无法及时追溯质量问题，</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须承担全部责任，并按照合同约定支付违约金。</w:t>
            </w:r>
          </w:p>
          <w:p>
            <w:pPr>
              <w:pStyle w:val="6"/>
              <w:ind w:left="105"/>
              <w:jc w:val="left"/>
            </w:pPr>
            <w:r>
              <w:rPr>
                <w:rFonts w:ascii="仿宋_GB2312" w:hAnsi="仿宋_GB2312" w:eastAsia="仿宋_GB2312" w:cs="仿宋_GB2312"/>
                <w:b/>
                <w:color w:val="000000"/>
                <w:sz w:val="21"/>
              </w:rPr>
              <w:t>8. 质量标准要求：</w:t>
            </w:r>
          </w:p>
          <w:p>
            <w:pPr>
              <w:pStyle w:val="6"/>
              <w:ind w:left="105"/>
              <w:jc w:val="left"/>
            </w:pPr>
            <w:r>
              <w:rPr>
                <w:rFonts w:ascii="仿宋_GB2312" w:hAnsi="仿宋_GB2312" w:eastAsia="仿宋_GB2312" w:cs="仿宋_GB2312"/>
                <w:color w:val="000000"/>
                <w:sz w:val="21"/>
              </w:rPr>
              <w:t>8.1 过程监测：规范执行各种过程监测项目，结果记录完善：包括物理检测、化学检测、生物监测及B－D试验结果，结果记录完善，实事求是。</w:t>
            </w:r>
          </w:p>
          <w:p>
            <w:pPr>
              <w:pStyle w:val="6"/>
              <w:ind w:left="105"/>
              <w:jc w:val="left"/>
            </w:pPr>
            <w:r>
              <w:rPr>
                <w:rFonts w:ascii="仿宋_GB2312" w:hAnsi="仿宋_GB2312" w:eastAsia="仿宋_GB2312" w:cs="仿宋_GB2312"/>
                <w:color w:val="000000"/>
                <w:sz w:val="21"/>
              </w:rPr>
              <w:t xml:space="preserve">8.2 </w:t>
            </w:r>
            <w:r>
              <w:rPr>
                <w:rFonts w:ascii="仿宋_GB2312" w:hAnsi="仿宋_GB2312" w:eastAsia="仿宋_GB2312" w:cs="仿宋_GB2312"/>
                <w:color w:val="000000" w:themeColor="text1"/>
                <w:sz w:val="21"/>
                <w14:textFill>
                  <w14:solidFill>
                    <w14:schemeClr w14:val="tx1"/>
                  </w14:solidFill>
                </w14:textFill>
              </w:rPr>
              <w:t>微生物指标抽检</w:t>
            </w:r>
            <w:r>
              <w:rPr>
                <w:rFonts w:hint="eastAsia" w:ascii="仿宋_GB2312" w:hAnsi="仿宋_GB2312" w:eastAsia="仿宋_GB2312" w:cs="仿宋_GB2312"/>
                <w:color w:val="000000" w:themeColor="text1"/>
                <w:sz w:val="21"/>
                <w:lang w:eastAsia="zh-CN"/>
                <w14:textFill>
                  <w14:solidFill>
                    <w14:schemeClr w14:val="tx1"/>
                  </w14:solidFill>
                </w14:textFill>
              </w:rPr>
              <w:t>频次符合国家卫生行业标准</w:t>
            </w:r>
            <w:r>
              <w:rPr>
                <w:rFonts w:ascii="仿宋_GB2312" w:hAnsi="仿宋_GB2312" w:eastAsia="仿宋_GB2312" w:cs="仿宋_GB2312"/>
                <w:color w:val="000000" w:themeColor="text1"/>
                <w:sz w:val="21"/>
                <w14:textFill>
                  <w14:solidFill>
                    <w14:schemeClr w14:val="tx1"/>
                  </w14:solidFill>
                </w14:textFill>
              </w:rPr>
              <w:t>，</w:t>
            </w:r>
            <w:r>
              <w:rPr>
                <w:rFonts w:hint="eastAsia" w:ascii="仿宋_GB2312" w:hAnsi="仿宋_GB2312" w:eastAsia="仿宋_GB2312" w:cs="仿宋_GB2312"/>
                <w:color w:val="000000" w:themeColor="text1"/>
                <w:sz w:val="21"/>
                <w:lang w:eastAsia="zh-CN"/>
                <w14:textFill>
                  <w14:solidFill>
                    <w14:schemeClr w14:val="tx1"/>
                  </w14:solidFill>
                </w14:textFill>
              </w:rPr>
              <w:t>供应商</w:t>
            </w:r>
            <w:r>
              <w:rPr>
                <w:rFonts w:ascii="仿宋_GB2312" w:hAnsi="仿宋_GB2312" w:eastAsia="仿宋_GB2312" w:cs="仿宋_GB2312"/>
                <w:color w:val="000000" w:themeColor="text1"/>
                <w:sz w:val="21"/>
                <w14:textFill>
                  <w14:solidFill>
                    <w14:schemeClr w14:val="tx1"/>
                  </w14:solidFill>
                </w14:textFill>
              </w:rPr>
              <w:t>应按时向采购人提交疾控中心或三级综合医疗机构微生物室出具的书面环境监测报告，包括空气、物表、手卫生等微生物监测结</w:t>
            </w:r>
            <w:r>
              <w:rPr>
                <w:rFonts w:ascii="仿宋_GB2312" w:hAnsi="仿宋_GB2312" w:eastAsia="仿宋_GB2312" w:cs="仿宋_GB2312"/>
                <w:color w:val="000000"/>
                <w:sz w:val="21"/>
              </w:rPr>
              <w:t>果，监测报告应真实、完整、准确、符合《医院消毒卫生标准》GB 15982-2012标准要求。</w:t>
            </w:r>
          </w:p>
          <w:p>
            <w:pPr>
              <w:pStyle w:val="6"/>
              <w:ind w:left="105"/>
              <w:jc w:val="both"/>
            </w:pPr>
            <w:r>
              <w:rPr>
                <w:rFonts w:ascii="仿宋_GB2312" w:hAnsi="仿宋_GB2312" w:eastAsia="仿宋_GB2312" w:cs="仿宋_GB2312"/>
                <w:sz w:val="21"/>
              </w:rPr>
              <w:t>8.3 灭菌合格率须达到100%、响应及时率须达到100%、追溯覆盖率须达到100%。</w:t>
            </w:r>
          </w:p>
          <w:p>
            <w:pPr>
              <w:pStyle w:val="6"/>
              <w:ind w:left="105"/>
              <w:jc w:val="both"/>
            </w:pPr>
            <w:r>
              <w:rPr>
                <w:rFonts w:ascii="仿宋_GB2312" w:hAnsi="仿宋_GB2312" w:eastAsia="仿宋_GB2312" w:cs="仿宋_GB2312"/>
                <w:sz w:val="21"/>
              </w:rPr>
              <w:t>8.4 依据</w:t>
            </w:r>
            <w:r>
              <w:rPr>
                <w:rFonts w:ascii="仿宋_GB2312" w:hAnsi="仿宋_GB2312" w:eastAsia="仿宋_GB2312" w:cs="仿宋_GB2312"/>
                <w:color w:val="auto"/>
                <w:sz w:val="21"/>
              </w:rPr>
              <w:t>WS 310.3-2016</w:t>
            </w:r>
            <w:r>
              <w:rPr>
                <w:rFonts w:ascii="仿宋_GB2312" w:hAnsi="仿宋_GB2312" w:eastAsia="仿宋_GB2312" w:cs="仿宋_GB2312"/>
                <w:sz w:val="21"/>
              </w:rPr>
              <w:t>完成相应监测项目，并根据采购人需求提供相关报告。</w:t>
            </w:r>
          </w:p>
          <w:p>
            <w:pPr>
              <w:pStyle w:val="6"/>
              <w:ind w:left="105"/>
              <w:jc w:val="left"/>
            </w:pPr>
            <w:r>
              <w:rPr>
                <w:rFonts w:ascii="仿宋_GB2312" w:hAnsi="仿宋_GB2312" w:eastAsia="仿宋_GB2312" w:cs="仿宋_GB2312"/>
                <w:color w:val="000000"/>
                <w:sz w:val="21"/>
              </w:rPr>
              <w:t xml:space="preserve">9. </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提供的所有服务应符合国家安全生产法规、行业标准、国家强制性规定及安全管理要求，包括消防安全、设备安全等。因</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过失造成的相关安全事故的，</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应依法承担全部赔偿责任并承担因此事件造成的相关经济赔偿责任，包括医疗救治费用、患者损害赔偿、行政处罚罚款、采购人声誉损失等。采购人有权终止合同</w:t>
            </w:r>
            <w:r>
              <w:rPr>
                <w:rFonts w:hint="eastAsia" w:ascii="仿宋_GB2312" w:hAnsi="仿宋_GB2312" w:eastAsia="仿宋_GB2312" w:cs="仿宋_GB2312"/>
                <w:color w:val="000000"/>
                <w:sz w:val="21"/>
                <w:lang w:eastAsia="zh-CN"/>
              </w:rPr>
              <w:t>，此项需提供承诺函，并加盖鲜章</w:t>
            </w:r>
            <w:r>
              <w:rPr>
                <w:rFonts w:ascii="仿宋_GB2312" w:hAnsi="仿宋_GB2312" w:eastAsia="仿宋_GB2312" w:cs="仿宋_GB2312"/>
                <w:color w:val="000000"/>
                <w:sz w:val="21"/>
              </w:rPr>
              <w:t>。</w:t>
            </w:r>
          </w:p>
          <w:p>
            <w:pPr>
              <w:pStyle w:val="6"/>
              <w:ind w:left="105"/>
              <w:jc w:val="left"/>
            </w:pPr>
            <w:r>
              <w:rPr>
                <w:rFonts w:ascii="仿宋_GB2312" w:hAnsi="仿宋_GB2312" w:eastAsia="仿宋_GB2312" w:cs="仿宋_GB2312"/>
                <w:color w:val="000000"/>
                <w:sz w:val="21"/>
              </w:rPr>
              <w:t>1</w:t>
            </w:r>
            <w:r>
              <w:rPr>
                <w:rFonts w:hint="eastAsia" w:ascii="仿宋_GB2312" w:hAnsi="仿宋_GB2312" w:eastAsia="仿宋_GB2312" w:cs="仿宋_GB2312"/>
                <w:color w:val="000000"/>
                <w:sz w:val="21"/>
                <w:lang w:val="en-US" w:eastAsia="zh-CN"/>
              </w:rPr>
              <w:t>0</w:t>
            </w:r>
            <w:r>
              <w:rPr>
                <w:rFonts w:ascii="仿宋_GB2312" w:hAnsi="仿宋_GB2312" w:eastAsia="仿宋_GB2312" w:cs="仿宋_GB2312"/>
                <w:color w:val="000000"/>
                <w:sz w:val="21"/>
              </w:rPr>
              <w:t>. 保密要求：本项目所有资料、成果的所有权归采购人。</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对本项目所有的成果资料具有保密的义务，不得以任何形式向第三方提供和泄露，不得利用本项目成果资料生产其它任何形式的产品。</w:t>
            </w:r>
          </w:p>
          <w:p>
            <w:pPr>
              <w:pStyle w:val="6"/>
              <w:jc w:val="left"/>
            </w:pPr>
            <w:r>
              <w:rPr>
                <w:rFonts w:ascii="仿宋_GB2312" w:hAnsi="仿宋_GB2312" w:eastAsia="仿宋_GB2312" w:cs="仿宋_GB2312"/>
                <w:color w:val="000000"/>
                <w:sz w:val="21"/>
              </w:rPr>
              <w:t>1</w:t>
            </w:r>
            <w:r>
              <w:rPr>
                <w:rFonts w:hint="eastAsia" w:ascii="仿宋_GB2312" w:hAnsi="仿宋_GB2312" w:eastAsia="仿宋_GB2312" w:cs="仿宋_GB2312"/>
                <w:color w:val="000000"/>
                <w:sz w:val="21"/>
                <w:lang w:val="en-US" w:eastAsia="zh-CN"/>
              </w:rPr>
              <w:t>1</w:t>
            </w:r>
            <w:r>
              <w:rPr>
                <w:rFonts w:ascii="仿宋_GB2312" w:hAnsi="仿宋_GB2312" w:eastAsia="仿宋_GB2312" w:cs="仿宋_GB2312"/>
                <w:color w:val="000000"/>
                <w:sz w:val="21"/>
              </w:rPr>
              <w:t>.耗材变更管理：未经采购人书面同意，</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不得擅自变更消毒耗材品牌，确需变更时，</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应提前5个工作日向采购人提交书面申请，详细说明变更原因、新耗材质量检测报告等资料，经采购人审批通过后方可实施。</w:t>
            </w:r>
          </w:p>
        </w:tc>
      </w:tr>
    </w:tbl>
    <w:p>
      <w:pPr>
        <w:pStyle w:val="6"/>
        <w:jc w:val="left"/>
        <w:outlineLvl w:val="3"/>
      </w:pPr>
      <w:r>
        <w:rPr>
          <w:rFonts w:hint="eastAsia" w:ascii="仿宋_GB2312" w:hAnsi="仿宋_GB2312" w:eastAsia="仿宋_GB2312" w:cs="仿宋_GB2312"/>
          <w:b/>
          <w:sz w:val="24"/>
          <w:lang w:eastAsia="zh-CN"/>
        </w:rPr>
        <w:t>考核</w:t>
      </w:r>
      <w:r>
        <w:rPr>
          <w:rFonts w:ascii="仿宋_GB2312" w:hAnsi="仿宋_GB2312" w:eastAsia="仿宋_GB2312" w:cs="仿宋_GB2312"/>
          <w:b/>
          <w:sz w:val="24"/>
        </w:rPr>
        <w:t>内容要求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center"/>
            </w:pPr>
            <w:r>
              <w:rPr>
                <w:rFonts w:ascii="仿宋_GB2312" w:hAnsi="仿宋_GB2312" w:eastAsia="仿宋_GB2312" w:cs="仿宋_GB2312"/>
              </w:rPr>
              <w:t xml:space="preserve"> 序号</w:t>
            </w:r>
          </w:p>
        </w:tc>
        <w:tc>
          <w:tcPr>
            <w:tcW w:w="581" w:type="dxa"/>
          </w:tcPr>
          <w:p>
            <w:pPr>
              <w:pStyle w:val="6"/>
              <w:jc w:val="center"/>
            </w:pPr>
            <w:r>
              <w:rPr>
                <w:rFonts w:ascii="仿宋_GB2312" w:hAnsi="仿宋_GB2312" w:eastAsia="仿宋_GB2312" w:cs="仿宋_GB2312"/>
              </w:rPr>
              <w:t xml:space="preserve"> 符号标识</w:t>
            </w:r>
          </w:p>
        </w:tc>
        <w:tc>
          <w:tcPr>
            <w:tcW w:w="1495" w:type="dxa"/>
          </w:tcPr>
          <w:p>
            <w:pPr>
              <w:pStyle w:val="6"/>
              <w:jc w:val="center"/>
            </w:pPr>
            <w:r>
              <w:rPr>
                <w:rFonts w:ascii="仿宋_GB2312" w:hAnsi="仿宋_GB2312" w:eastAsia="仿宋_GB2312" w:cs="仿宋_GB2312"/>
              </w:rPr>
              <w:t xml:space="preserve"> 服务要求名称</w:t>
            </w:r>
          </w:p>
        </w:tc>
        <w:tc>
          <w:tcPr>
            <w:tcW w:w="5814" w:type="dxa"/>
          </w:tcPr>
          <w:p>
            <w:pPr>
              <w:pStyle w:val="6"/>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center"/>
            </w:pPr>
            <w:r>
              <w:rPr>
                <w:rFonts w:ascii="仿宋_GB2312" w:hAnsi="仿宋_GB2312" w:eastAsia="仿宋_GB2312" w:cs="仿宋_GB2312"/>
              </w:rPr>
              <w:t>1</w:t>
            </w:r>
          </w:p>
        </w:tc>
        <w:tc>
          <w:tcPr>
            <w:tcW w:w="581" w:type="dxa"/>
          </w:tcPr>
          <w:p/>
        </w:tc>
        <w:tc>
          <w:tcPr>
            <w:tcW w:w="1495" w:type="dxa"/>
          </w:tcPr>
          <w:p>
            <w:pPr>
              <w:pStyle w:val="6"/>
              <w:jc w:val="left"/>
            </w:pPr>
            <w:r>
              <w:rPr>
                <w:rFonts w:ascii="仿宋_GB2312" w:hAnsi="仿宋_GB2312" w:eastAsia="仿宋_GB2312" w:cs="仿宋_GB2312"/>
              </w:rPr>
              <w:t>其他要求</w:t>
            </w:r>
          </w:p>
        </w:tc>
        <w:tc>
          <w:tcPr>
            <w:tcW w:w="5814" w:type="dxa"/>
          </w:tcPr>
          <w:p>
            <w:pPr>
              <w:pStyle w:val="6"/>
              <w:ind w:left="105"/>
              <w:jc w:val="left"/>
            </w:pPr>
            <w:r>
              <w:rPr>
                <w:rFonts w:ascii="仿宋_GB2312" w:hAnsi="仿宋_GB2312" w:eastAsia="仿宋_GB2312" w:cs="仿宋_GB2312"/>
                <w:b/>
                <w:sz w:val="21"/>
              </w:rPr>
              <w:t>一、考核</w:t>
            </w:r>
            <w:r>
              <w:rPr>
                <w:rFonts w:ascii="仿宋_GB2312" w:hAnsi="仿宋_GB2312" w:eastAsia="仿宋_GB2312" w:cs="仿宋_GB2312"/>
                <w:b/>
              </w:rPr>
              <w:t xml:space="preserve"> </w:t>
            </w:r>
          </w:p>
          <w:p>
            <w:pPr>
              <w:pStyle w:val="6"/>
              <w:ind w:left="105"/>
              <w:jc w:val="left"/>
            </w:pPr>
            <w:r>
              <w:rPr>
                <w:rFonts w:ascii="仿宋_GB2312" w:hAnsi="仿宋_GB2312" w:eastAsia="仿宋_GB2312" w:cs="仿宋_GB2312"/>
                <w:sz w:val="21"/>
              </w:rPr>
              <w:t>1、考核机制</w:t>
            </w:r>
          </w:p>
          <w:p>
            <w:pPr>
              <w:pStyle w:val="6"/>
              <w:ind w:left="105"/>
              <w:jc w:val="left"/>
            </w:pPr>
            <w:r>
              <w:rPr>
                <w:rFonts w:ascii="仿宋_GB2312" w:hAnsi="仿宋_GB2312" w:eastAsia="仿宋_GB2312" w:cs="仿宋_GB2312"/>
                <w:sz w:val="21"/>
              </w:rPr>
              <w:t>（1）</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接受采购人的监督和考核，对</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将进行不定期的考核，按百分制实行考核，考核得分在80分（含）以上的视为考核合格。</w:t>
            </w:r>
          </w:p>
          <w:p>
            <w:pPr>
              <w:pStyle w:val="6"/>
              <w:ind w:left="105"/>
              <w:jc w:val="left"/>
            </w:pPr>
            <w:r>
              <w:rPr>
                <w:rFonts w:ascii="仿宋_GB2312" w:hAnsi="仿宋_GB2312" w:eastAsia="仿宋_GB2312" w:cs="仿宋_GB2312"/>
                <w:sz w:val="21"/>
              </w:rPr>
              <w:t>（2）若单次评分低于80分，采购人将扣除1000元服务费用，并责令</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在5个工作日内提交书面整改计划及实施方案。</w:t>
            </w:r>
          </w:p>
          <w:p>
            <w:pPr>
              <w:pStyle w:val="6"/>
              <w:ind w:left="105"/>
              <w:jc w:val="left"/>
            </w:pPr>
            <w:r>
              <w:rPr>
                <w:rFonts w:ascii="仿宋_GB2312" w:hAnsi="仿宋_GB2312" w:eastAsia="仿宋_GB2312" w:cs="仿宋_GB2312"/>
                <w:sz w:val="21"/>
              </w:rPr>
              <w:t>（3）若连续两次评分低于80分，采购人将扣除2000元服务费用，并约谈</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医疗消毒供应中心主要负责人，要求其到岗履职并全程监督整改工作。</w:t>
            </w:r>
          </w:p>
          <w:p>
            <w:pPr>
              <w:pStyle w:val="6"/>
              <w:ind w:left="105"/>
              <w:jc w:val="left"/>
            </w:pPr>
            <w:r>
              <w:rPr>
                <w:rFonts w:ascii="仿宋_GB2312" w:hAnsi="仿宋_GB2312" w:eastAsia="仿宋_GB2312" w:cs="仿宋_GB2312"/>
                <w:sz w:val="21"/>
              </w:rPr>
              <w:t>（4）若连续3次评分低于80分，或出现导致重大质量安全事故（如灭菌失败引发感染风险等）的情形，采购人有权立即暂停双方合作关系。采购人将扣除5000元服务费用。</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须在采购人指定时间内完成全面整改，并经采购人组织评估验收合格后，方可申请恢复合作；若未通过验收，采购人有权单方面终止本合同，并依法追究</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违约责任。赔偿采购人为弥补服务缺陷所产生的额外费用、重新采购服务的成本等。</w:t>
            </w:r>
          </w:p>
          <w:p>
            <w:pPr>
              <w:pStyle w:val="6"/>
              <w:ind w:left="105"/>
              <w:jc w:val="left"/>
            </w:pPr>
            <w:r>
              <w:rPr>
                <w:rFonts w:ascii="仿宋_GB2312" w:hAnsi="仿宋_GB2312" w:eastAsia="仿宋_GB2312" w:cs="仿宋_GB2312"/>
                <w:sz w:val="21"/>
              </w:rPr>
              <w:t>2、具体考核细则详见附件《考核表》，项目实施过程中，采购人和</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可以根据工作实际共同协商，对考核标准进行完善细化或修改调整。</w:t>
            </w:r>
          </w:p>
          <w:p>
            <w:pPr>
              <w:pStyle w:val="6"/>
              <w:ind w:left="105"/>
              <w:jc w:val="left"/>
            </w:pPr>
            <w:r>
              <w:rPr>
                <w:rFonts w:ascii="仿宋_GB2312" w:hAnsi="仿宋_GB2312" w:eastAsia="仿宋_GB2312" w:cs="仿宋_GB2312"/>
                <w:b/>
                <w:sz w:val="21"/>
              </w:rPr>
              <w:t>二、扣款机制（服务期限内，若</w:t>
            </w:r>
            <w:r>
              <w:rPr>
                <w:rFonts w:hint="eastAsia" w:ascii="仿宋_GB2312" w:hAnsi="仿宋_GB2312" w:eastAsia="仿宋_GB2312" w:cs="仿宋_GB2312"/>
                <w:b/>
                <w:sz w:val="21"/>
                <w:lang w:eastAsia="zh-CN"/>
              </w:rPr>
              <w:t>供应商</w:t>
            </w:r>
            <w:r>
              <w:rPr>
                <w:rFonts w:ascii="仿宋_GB2312" w:hAnsi="仿宋_GB2312" w:eastAsia="仿宋_GB2312" w:cs="仿宋_GB2312"/>
                <w:b/>
                <w:sz w:val="21"/>
              </w:rPr>
              <w:t>发生以下任一情形则进行扣款，</w:t>
            </w:r>
            <w:r>
              <w:rPr>
                <w:rFonts w:hint="eastAsia" w:ascii="仿宋_GB2312" w:hAnsi="仿宋_GB2312" w:eastAsia="仿宋_GB2312" w:cs="仿宋_GB2312"/>
                <w:b/>
                <w:sz w:val="21"/>
                <w:lang w:eastAsia="zh-CN"/>
              </w:rPr>
              <w:t>供应商</w:t>
            </w:r>
            <w:r>
              <w:rPr>
                <w:rFonts w:ascii="仿宋_GB2312" w:hAnsi="仿宋_GB2312" w:eastAsia="仿宋_GB2312" w:cs="仿宋_GB2312"/>
                <w:b/>
                <w:sz w:val="21"/>
              </w:rPr>
              <w:t>须遵守）</w:t>
            </w:r>
          </w:p>
          <w:p>
            <w:pPr>
              <w:pStyle w:val="6"/>
              <w:jc w:val="left"/>
            </w:pPr>
            <w:r>
              <w:rPr>
                <w:rFonts w:ascii="仿宋_GB2312" w:hAnsi="仿宋_GB2312" w:eastAsia="仿宋_GB2312" w:cs="仿宋_GB2312"/>
                <w:color w:val="000000"/>
                <w:sz w:val="21"/>
              </w:rPr>
              <w:t>单项违规扣款：在</w:t>
            </w:r>
            <w:r>
              <w:rPr>
                <w:rFonts w:hint="eastAsia" w:ascii="仿宋_GB2312" w:hAnsi="仿宋_GB2312" w:eastAsia="仿宋_GB2312" w:cs="仿宋_GB2312"/>
                <w:color w:val="000000"/>
                <w:sz w:val="21"/>
                <w:lang w:eastAsia="zh-CN"/>
              </w:rPr>
              <w:t>季度</w:t>
            </w:r>
            <w:r>
              <w:rPr>
                <w:rFonts w:ascii="仿宋_GB2312" w:hAnsi="仿宋_GB2312" w:eastAsia="仿宋_GB2312" w:cs="仿宋_GB2312"/>
                <w:color w:val="000000"/>
                <w:sz w:val="21"/>
              </w:rPr>
              <w:t>服务费支付中抵扣。</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9"/>
              <w:gridCol w:w="2456"/>
              <w:gridCol w:w="25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1"/>
                    </w:rPr>
                    <w:t>序号</w:t>
                  </w:r>
                </w:p>
              </w:tc>
              <w:tc>
                <w:tcPr>
                  <w:tcW w:w="24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1"/>
                    </w:rPr>
                    <w:t>扣款项目</w:t>
                  </w:r>
                </w:p>
              </w:tc>
              <w:tc>
                <w:tcPr>
                  <w:tcW w:w="25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1"/>
                    </w:rPr>
                    <w:t>扣款措施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1</w:t>
                  </w:r>
                </w:p>
              </w:tc>
              <w:tc>
                <w:tcPr>
                  <w:tcW w:w="24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灭菌包存在血迹、污渍、锈迹、功能不完整、破损、多件、少件等不符合要求的质量问题</w:t>
                  </w:r>
                </w:p>
              </w:tc>
              <w:tc>
                <w:tcPr>
                  <w:tcW w:w="25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血迹、污渍按500元/件；锈迹、功能不完整、破损、多件、少件按100元/件；其他质量问题视情况确定扣款金额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2</w:t>
                  </w:r>
                </w:p>
              </w:tc>
              <w:tc>
                <w:tcPr>
                  <w:tcW w:w="24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各区域工作人员着装不规范</w:t>
                  </w:r>
                </w:p>
              </w:tc>
              <w:tc>
                <w:tcPr>
                  <w:tcW w:w="25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200元/人.次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3</w:t>
                  </w:r>
                </w:p>
              </w:tc>
              <w:tc>
                <w:tcPr>
                  <w:tcW w:w="24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提交资料存在虚假、缺失等情况</w:t>
                  </w:r>
                </w:p>
              </w:tc>
              <w:tc>
                <w:tcPr>
                  <w:tcW w:w="25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5000元/次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4</w:t>
                  </w:r>
                </w:p>
              </w:tc>
              <w:tc>
                <w:tcPr>
                  <w:tcW w:w="24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未严格落实新标准</w:t>
                  </w:r>
                </w:p>
              </w:tc>
              <w:tc>
                <w:tcPr>
                  <w:tcW w:w="25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5000元/次；导致医疗风险的，承担全部赔偿责任。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5</w:t>
                  </w:r>
                </w:p>
              </w:tc>
              <w:tc>
                <w:tcPr>
                  <w:tcW w:w="24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发生安全事故</w:t>
                  </w:r>
                </w:p>
              </w:tc>
              <w:tc>
                <w:tcPr>
                  <w:tcW w:w="25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除承担全部赔偿外，另支付违约金5万元/次/人（重大安全事故按照合同条款违约责任的第9点规定进行处理）。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6</w:t>
                  </w:r>
                </w:p>
              </w:tc>
              <w:tc>
                <w:tcPr>
                  <w:tcW w:w="24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因</w:t>
                  </w:r>
                  <w:r>
                    <w:rPr>
                      <w:rFonts w:hint="eastAsia" w:ascii="仿宋_GB2312" w:hAnsi="仿宋_GB2312" w:eastAsia="仿宋_GB2312" w:cs="仿宋_GB2312"/>
                      <w:color w:val="000000"/>
                      <w:sz w:val="21"/>
                      <w:lang w:eastAsia="zh-CN"/>
                    </w:rPr>
                    <w:t>供应商</w:t>
                  </w:r>
                  <w:r>
                    <w:rPr>
                      <w:rFonts w:ascii="仿宋_GB2312" w:hAnsi="仿宋_GB2312" w:eastAsia="仿宋_GB2312" w:cs="仿宋_GB2312"/>
                      <w:color w:val="000000"/>
                      <w:sz w:val="21"/>
                    </w:rPr>
                    <w:t>过失引发感染事件</w:t>
                  </w:r>
                </w:p>
              </w:tc>
              <w:tc>
                <w:tcPr>
                  <w:tcW w:w="25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赔偿全部损失的150%。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7</w:t>
                  </w:r>
                </w:p>
              </w:tc>
              <w:tc>
                <w:tcPr>
                  <w:tcW w:w="24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监测不合格直接或间接导致感染</w:t>
                  </w:r>
                </w:p>
              </w:tc>
              <w:tc>
                <w:tcPr>
                  <w:tcW w:w="25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赔偿全部损失，并承担法律责任。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8</w:t>
                  </w:r>
                </w:p>
              </w:tc>
              <w:tc>
                <w:tcPr>
                  <w:tcW w:w="24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未进行环境监测</w:t>
                  </w:r>
                </w:p>
              </w:tc>
              <w:tc>
                <w:tcPr>
                  <w:tcW w:w="25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1000元/次。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9</w:t>
                  </w:r>
                </w:p>
              </w:tc>
              <w:tc>
                <w:tcPr>
                  <w:tcW w:w="24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各岗位人员资质不符合要求，人员资质缺失</w:t>
                  </w:r>
                </w:p>
              </w:tc>
              <w:tc>
                <w:tcPr>
                  <w:tcW w:w="25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2000元/人.次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10</w:t>
                  </w:r>
                </w:p>
              </w:tc>
              <w:tc>
                <w:tcPr>
                  <w:tcW w:w="24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发生器械损坏、遗失、器械包多件、少件影响临床业务</w:t>
                  </w:r>
                </w:p>
              </w:tc>
              <w:tc>
                <w:tcPr>
                  <w:tcW w:w="25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1"/>
                    </w:rPr>
                    <w:t>按实际损失赔偿</w:t>
                  </w:r>
                </w:p>
              </w:tc>
            </w:tr>
          </w:tbl>
          <w:p>
            <w:pPr>
              <w:pStyle w:val="6"/>
              <w:jc w:val="left"/>
            </w:pPr>
          </w:p>
        </w:tc>
      </w:tr>
    </w:tbl>
    <w:p>
      <w:pPr>
        <w:pStyle w:val="6"/>
        <w:jc w:val="left"/>
        <w:outlineLvl w:val="3"/>
      </w:pPr>
      <w:r>
        <w:rPr>
          <w:rFonts w:ascii="仿宋_GB2312" w:hAnsi="仿宋_GB2312" w:eastAsia="仿宋_GB2312" w:cs="仿宋_GB2312"/>
          <w:b/>
          <w:sz w:val="24"/>
        </w:rPr>
        <w:t>商务要求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center"/>
            </w:pPr>
            <w:r>
              <w:rPr>
                <w:rFonts w:ascii="仿宋_GB2312" w:hAnsi="仿宋_GB2312" w:eastAsia="仿宋_GB2312" w:cs="仿宋_GB2312"/>
              </w:rPr>
              <w:t>序号</w:t>
            </w:r>
          </w:p>
        </w:tc>
        <w:tc>
          <w:tcPr>
            <w:tcW w:w="581" w:type="dxa"/>
          </w:tcPr>
          <w:p>
            <w:pPr>
              <w:pStyle w:val="6"/>
              <w:jc w:val="center"/>
            </w:pPr>
            <w:r>
              <w:rPr>
                <w:rFonts w:ascii="仿宋_GB2312" w:hAnsi="仿宋_GB2312" w:eastAsia="仿宋_GB2312" w:cs="仿宋_GB2312"/>
              </w:rPr>
              <w:t>符号标识</w:t>
            </w:r>
          </w:p>
        </w:tc>
        <w:tc>
          <w:tcPr>
            <w:tcW w:w="1495" w:type="dxa"/>
          </w:tcPr>
          <w:p>
            <w:pPr>
              <w:pStyle w:val="6"/>
              <w:jc w:val="center"/>
            </w:pPr>
            <w:r>
              <w:rPr>
                <w:rFonts w:ascii="仿宋_GB2312" w:hAnsi="仿宋_GB2312" w:eastAsia="仿宋_GB2312" w:cs="仿宋_GB2312"/>
              </w:rPr>
              <w:t>商务要求名称</w:t>
            </w:r>
          </w:p>
        </w:tc>
        <w:tc>
          <w:tcPr>
            <w:tcW w:w="5814" w:type="dxa"/>
          </w:tcPr>
          <w:p>
            <w:pPr>
              <w:pStyle w:val="6"/>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center"/>
            </w:pPr>
            <w:r>
              <w:rPr>
                <w:rFonts w:ascii="仿宋_GB2312" w:hAnsi="仿宋_GB2312" w:eastAsia="仿宋_GB2312" w:cs="仿宋_GB2312"/>
              </w:rPr>
              <w:t>1</w:t>
            </w:r>
          </w:p>
        </w:tc>
        <w:tc>
          <w:tcPr>
            <w:tcW w:w="581" w:type="dxa"/>
          </w:tcPr>
          <w:p/>
        </w:tc>
        <w:tc>
          <w:tcPr>
            <w:tcW w:w="1495" w:type="dxa"/>
          </w:tcPr>
          <w:p>
            <w:pPr>
              <w:pStyle w:val="6"/>
              <w:jc w:val="left"/>
            </w:pPr>
            <w:r>
              <w:rPr>
                <w:rFonts w:ascii="仿宋_GB2312" w:hAnsi="仿宋_GB2312" w:eastAsia="仿宋_GB2312" w:cs="仿宋_GB2312"/>
              </w:rPr>
              <w:t>服务期限</w:t>
            </w:r>
          </w:p>
        </w:tc>
        <w:tc>
          <w:tcPr>
            <w:tcW w:w="5814" w:type="dxa"/>
          </w:tcPr>
          <w:p>
            <w:pPr>
              <w:pStyle w:val="6"/>
              <w:jc w:val="left"/>
            </w:pPr>
            <w:r>
              <w:rPr>
                <w:rFonts w:ascii="仿宋_GB2312" w:hAnsi="仿宋_GB2312" w:eastAsia="仿宋_GB2312" w:cs="仿宋_GB2312"/>
              </w:rPr>
              <w:t>一年（365天）(启动时间以采购人通知为准）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center"/>
            </w:pPr>
            <w:r>
              <w:rPr>
                <w:rFonts w:ascii="仿宋_GB2312" w:hAnsi="仿宋_GB2312" w:eastAsia="仿宋_GB2312" w:cs="仿宋_GB2312"/>
              </w:rPr>
              <w:t>2</w:t>
            </w:r>
          </w:p>
        </w:tc>
        <w:tc>
          <w:tcPr>
            <w:tcW w:w="581" w:type="dxa"/>
          </w:tcPr>
          <w:p/>
        </w:tc>
        <w:tc>
          <w:tcPr>
            <w:tcW w:w="1495" w:type="dxa"/>
          </w:tcPr>
          <w:p>
            <w:pPr>
              <w:pStyle w:val="6"/>
              <w:jc w:val="left"/>
            </w:pPr>
            <w:r>
              <w:rPr>
                <w:rFonts w:ascii="仿宋_GB2312" w:hAnsi="仿宋_GB2312" w:eastAsia="仿宋_GB2312" w:cs="仿宋_GB2312"/>
              </w:rPr>
              <w:t>服务地点</w:t>
            </w:r>
          </w:p>
        </w:tc>
        <w:tc>
          <w:tcPr>
            <w:tcW w:w="5814" w:type="dxa"/>
          </w:tcPr>
          <w:p>
            <w:pPr>
              <w:pStyle w:val="6"/>
              <w:jc w:val="left"/>
            </w:pPr>
            <w:r>
              <w:rPr>
                <w:rFonts w:ascii="仿宋_GB2312" w:hAnsi="仿宋_GB2312" w:eastAsia="仿宋_GB2312" w:cs="仿宋_GB2312"/>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center"/>
            </w:pPr>
            <w:r>
              <w:rPr>
                <w:rFonts w:ascii="仿宋_GB2312" w:hAnsi="仿宋_GB2312" w:eastAsia="仿宋_GB2312" w:cs="仿宋_GB2312"/>
              </w:rPr>
              <w:t>3</w:t>
            </w:r>
          </w:p>
        </w:tc>
        <w:tc>
          <w:tcPr>
            <w:tcW w:w="581" w:type="dxa"/>
          </w:tcPr>
          <w:p/>
        </w:tc>
        <w:tc>
          <w:tcPr>
            <w:tcW w:w="1495" w:type="dxa"/>
          </w:tcPr>
          <w:p>
            <w:pPr>
              <w:pStyle w:val="6"/>
              <w:jc w:val="left"/>
            </w:pPr>
            <w:r>
              <w:rPr>
                <w:rFonts w:ascii="仿宋_GB2312" w:hAnsi="仿宋_GB2312" w:eastAsia="仿宋_GB2312" w:cs="仿宋_GB2312"/>
              </w:rPr>
              <w:t>验收、交付标准和方法</w:t>
            </w:r>
          </w:p>
        </w:tc>
        <w:tc>
          <w:tcPr>
            <w:tcW w:w="5814" w:type="dxa"/>
          </w:tcPr>
          <w:p>
            <w:pPr>
              <w:pStyle w:val="6"/>
              <w:jc w:val="left"/>
            </w:pPr>
            <w:r>
              <w:rPr>
                <w:rFonts w:ascii="仿宋_GB2312" w:hAnsi="仿宋_GB2312" w:eastAsia="仿宋_GB2312" w:cs="仿宋_GB2312"/>
              </w:rPr>
              <w:t>采购人与</w:t>
            </w:r>
            <w:r>
              <w:rPr>
                <w:rFonts w:hint="eastAsia" w:ascii="仿宋_GB2312" w:hAnsi="仿宋_GB2312" w:eastAsia="仿宋_GB2312" w:cs="仿宋_GB2312"/>
                <w:lang w:eastAsia="zh-CN"/>
              </w:rPr>
              <w:t>供应商</w:t>
            </w:r>
            <w:r>
              <w:rPr>
                <w:rFonts w:ascii="仿宋_GB2312" w:hAnsi="仿宋_GB2312" w:eastAsia="仿宋_GB2312" w:cs="仿宋_GB2312"/>
              </w:rPr>
              <w:t>严格按照《中华人民共和国政府采购法》《中华人民共和国政府采购法实施条例》（中华人民共和国国务院令第658号）以及《财政部关于进一步加强政府采购需求和履约验收管理的指导意见》（财库〔2016〕205号）等相关法律法规、规章及文件的规定，并结合本项目</w:t>
            </w:r>
            <w:r>
              <w:rPr>
                <w:rFonts w:hint="eastAsia" w:ascii="仿宋_GB2312" w:hAnsi="仿宋_GB2312" w:eastAsia="仿宋_GB2312" w:cs="仿宋_GB2312"/>
                <w:lang w:val="en-US" w:eastAsia="zh-CN"/>
              </w:rPr>
              <w:t>采购</w:t>
            </w:r>
            <w:r>
              <w:rPr>
                <w:rFonts w:ascii="仿宋_GB2312" w:hAnsi="仿宋_GB2312" w:eastAsia="仿宋_GB2312" w:cs="仿宋_GB2312"/>
              </w:rPr>
              <w:t>文件的要求和</w:t>
            </w:r>
            <w:r>
              <w:rPr>
                <w:rFonts w:hint="eastAsia" w:ascii="仿宋_GB2312" w:hAnsi="仿宋_GB2312" w:eastAsia="仿宋_GB2312" w:cs="仿宋_GB2312"/>
                <w:lang w:eastAsia="zh-CN"/>
              </w:rPr>
              <w:t>供应商</w:t>
            </w:r>
            <w:r>
              <w:rPr>
                <w:rFonts w:ascii="仿宋_GB2312" w:hAnsi="仿宋_GB2312" w:eastAsia="仿宋_GB2312" w:cs="仿宋_GB2312"/>
              </w:rPr>
              <w:t>投标文件的响应、承诺、政府采购合同进行验收。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center"/>
            </w:pPr>
            <w:r>
              <w:rPr>
                <w:rFonts w:ascii="仿宋_GB2312" w:hAnsi="仿宋_GB2312" w:eastAsia="仿宋_GB2312" w:cs="仿宋_GB2312"/>
              </w:rPr>
              <w:t>4</w:t>
            </w:r>
          </w:p>
        </w:tc>
        <w:tc>
          <w:tcPr>
            <w:tcW w:w="581" w:type="dxa"/>
          </w:tcPr>
          <w:p/>
        </w:tc>
        <w:tc>
          <w:tcPr>
            <w:tcW w:w="1495" w:type="dxa"/>
          </w:tcPr>
          <w:p>
            <w:pPr>
              <w:pStyle w:val="6"/>
              <w:jc w:val="left"/>
            </w:pPr>
            <w:r>
              <w:rPr>
                <w:rFonts w:ascii="仿宋_GB2312" w:hAnsi="仿宋_GB2312" w:eastAsia="仿宋_GB2312" w:cs="仿宋_GB2312"/>
              </w:rPr>
              <w:t>支付方式</w:t>
            </w:r>
          </w:p>
        </w:tc>
        <w:tc>
          <w:tcPr>
            <w:tcW w:w="5814" w:type="dxa"/>
          </w:tcPr>
          <w:p>
            <w:pPr>
              <w:pStyle w:val="6"/>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center"/>
            </w:pPr>
            <w:r>
              <w:rPr>
                <w:rFonts w:ascii="仿宋_GB2312" w:hAnsi="仿宋_GB2312" w:eastAsia="仿宋_GB2312" w:cs="仿宋_GB2312"/>
              </w:rPr>
              <w:t>5</w:t>
            </w:r>
          </w:p>
        </w:tc>
        <w:tc>
          <w:tcPr>
            <w:tcW w:w="581" w:type="dxa"/>
          </w:tcPr>
          <w:p/>
        </w:tc>
        <w:tc>
          <w:tcPr>
            <w:tcW w:w="1495" w:type="dxa"/>
          </w:tcPr>
          <w:p>
            <w:pPr>
              <w:pStyle w:val="6"/>
              <w:jc w:val="left"/>
            </w:pPr>
            <w:r>
              <w:rPr>
                <w:rFonts w:ascii="仿宋_GB2312" w:hAnsi="仿宋_GB2312" w:eastAsia="仿宋_GB2312" w:cs="仿宋_GB2312"/>
              </w:rPr>
              <w:t>付款进度安排</w:t>
            </w:r>
          </w:p>
        </w:tc>
        <w:tc>
          <w:tcPr>
            <w:tcW w:w="5814" w:type="dxa"/>
          </w:tcPr>
          <w:p>
            <w:pPr>
              <w:pStyle w:val="6"/>
              <w:jc w:val="left"/>
            </w:pPr>
            <w:r>
              <w:rPr>
                <w:rFonts w:ascii="仿宋_GB2312" w:hAnsi="仿宋_GB2312" w:eastAsia="仿宋_GB2312" w:cs="仿宋_GB2312"/>
              </w:rPr>
              <w:t>1、按</w:t>
            </w:r>
            <w:r>
              <w:rPr>
                <w:rFonts w:hint="eastAsia" w:ascii="仿宋_GB2312" w:hAnsi="仿宋_GB2312" w:eastAsia="仿宋_GB2312" w:cs="仿宋_GB2312"/>
                <w:lang w:eastAsia="zh-CN"/>
              </w:rPr>
              <w:t>（</w:t>
            </w:r>
            <w:r>
              <w:rPr>
                <w:rFonts w:hint="eastAsia" w:ascii="仿宋_GB2312" w:hAnsi="仿宋_GB2312" w:eastAsia="仿宋_GB2312" w:cs="仿宋_GB2312"/>
                <w:color w:val="000000" w:themeColor="text1"/>
                <w:lang w:val="en-US" w:eastAsia="zh-CN"/>
                <w14:textFill>
                  <w14:solidFill>
                    <w14:schemeClr w14:val="tx1"/>
                  </w14:solidFill>
                </w14:textFill>
              </w:rPr>
              <w:t>季度</w:t>
            </w:r>
            <w:r>
              <w:rPr>
                <w:rFonts w:hint="eastAsia" w:ascii="仿宋_GB2312" w:hAnsi="仿宋_GB2312" w:eastAsia="仿宋_GB2312" w:cs="仿宋_GB2312"/>
                <w:lang w:eastAsia="zh-CN"/>
              </w:rPr>
              <w:t>）</w:t>
            </w:r>
            <w:r>
              <w:rPr>
                <w:rFonts w:ascii="仿宋_GB2312" w:hAnsi="仿宋_GB2312" w:eastAsia="仿宋_GB2312" w:cs="仿宋_GB2312"/>
              </w:rPr>
              <w:t>付款。在双方核对无误，</w:t>
            </w:r>
            <w:r>
              <w:rPr>
                <w:rFonts w:hint="eastAsia" w:ascii="仿宋_GB2312" w:hAnsi="仿宋_GB2312" w:eastAsia="仿宋_GB2312" w:cs="仿宋_GB2312"/>
                <w:lang w:eastAsia="zh-CN"/>
              </w:rPr>
              <w:t>供应商</w:t>
            </w:r>
            <w:r>
              <w:rPr>
                <w:rFonts w:ascii="仿宋_GB2312" w:hAnsi="仿宋_GB2312" w:eastAsia="仿宋_GB2312" w:cs="仿宋_GB2312"/>
              </w:rPr>
              <w:t>出具合法有效完整的完税发票，达到付款条件起1</w:t>
            </w:r>
            <w:r>
              <w:rPr>
                <w:rFonts w:hint="eastAsia" w:ascii="仿宋_GB2312" w:hAnsi="仿宋_GB2312" w:eastAsia="仿宋_GB2312" w:cs="仿宋_GB2312"/>
                <w:lang w:val="en-US" w:eastAsia="zh-CN"/>
              </w:rPr>
              <w:t>5</w:t>
            </w:r>
            <w:r>
              <w:rPr>
                <w:rFonts w:ascii="仿宋_GB2312" w:hAnsi="仿宋_GB2312" w:eastAsia="仿宋_GB2312" w:cs="仿宋_GB2312"/>
              </w:rPr>
              <w:t>日内付款。</w:t>
            </w:r>
            <w:r>
              <w:rPr>
                <w:rFonts w:hint="eastAsia" w:ascii="仿宋_GB2312" w:hAnsi="仿宋_GB2312" w:eastAsia="仿宋_GB2312" w:cs="仿宋_GB2312"/>
                <w:lang w:val="en-US" w:eastAsia="zh-CN"/>
              </w:rPr>
              <w:t>季</w:t>
            </w:r>
            <w:r>
              <w:rPr>
                <w:rFonts w:ascii="仿宋_GB2312" w:hAnsi="仿宋_GB2312" w:eastAsia="仿宋_GB2312" w:cs="仿宋_GB2312"/>
              </w:rPr>
              <w:t>度结算价=</w:t>
            </w:r>
            <w:r>
              <w:rPr>
                <w:rFonts w:hint="eastAsia" w:ascii="仿宋_GB2312" w:hAnsi="仿宋_GB2312" w:eastAsia="仿宋_GB2312" w:cs="仿宋_GB2312"/>
                <w:lang w:val="en-US" w:eastAsia="zh-CN"/>
              </w:rPr>
              <w:t>全年总价</w:t>
            </w:r>
            <w:r>
              <w:rPr>
                <w:rFonts w:hint="default" w:ascii="Arial" w:hAnsi="Arial" w:eastAsia="仿宋_GB2312" w:cs="Arial"/>
              </w:rPr>
              <w:t>÷</w:t>
            </w:r>
            <w:r>
              <w:rPr>
                <w:rFonts w:hint="eastAsia" w:ascii="Arial" w:hAnsi="Arial" w:eastAsia="仿宋_GB2312" w:cs="Arial"/>
                <w:lang w:val="en-US" w:eastAsia="zh-CN"/>
              </w:rPr>
              <w:t>4（季度）</w:t>
            </w:r>
            <w:r>
              <w:rPr>
                <w:rFonts w:ascii="仿宋_GB2312" w:hAnsi="仿宋_GB2312" w:eastAsia="仿宋_GB2312" w:cs="仿宋_GB2312"/>
              </w:rPr>
              <w:t>-扣款（若有时）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center"/>
            </w:pPr>
            <w:r>
              <w:rPr>
                <w:rFonts w:ascii="仿宋_GB2312" w:hAnsi="仿宋_GB2312" w:eastAsia="仿宋_GB2312" w:cs="仿宋_GB2312"/>
              </w:rPr>
              <w:t>6</w:t>
            </w:r>
          </w:p>
        </w:tc>
        <w:tc>
          <w:tcPr>
            <w:tcW w:w="581" w:type="dxa"/>
          </w:tcPr>
          <w:p>
            <w:pPr>
              <w:pStyle w:val="6"/>
              <w:jc w:val="center"/>
            </w:pPr>
            <w:r>
              <w:rPr>
                <w:rFonts w:ascii="仿宋_GB2312" w:hAnsi="仿宋_GB2312" w:eastAsia="仿宋_GB2312" w:cs="仿宋_GB2312"/>
              </w:rPr>
              <w:t>★</w:t>
            </w:r>
          </w:p>
        </w:tc>
        <w:tc>
          <w:tcPr>
            <w:tcW w:w="1495" w:type="dxa"/>
          </w:tcPr>
          <w:p>
            <w:pPr>
              <w:pStyle w:val="6"/>
              <w:jc w:val="left"/>
            </w:pPr>
            <w:r>
              <w:rPr>
                <w:rFonts w:ascii="仿宋_GB2312" w:hAnsi="仿宋_GB2312" w:eastAsia="仿宋_GB2312" w:cs="仿宋_GB2312"/>
              </w:rPr>
              <w:t>违约责任与解决争议的方法</w:t>
            </w:r>
          </w:p>
        </w:tc>
        <w:tc>
          <w:tcPr>
            <w:tcW w:w="5814" w:type="dxa"/>
          </w:tcPr>
          <w:p>
            <w:pPr>
              <w:pStyle w:val="6"/>
              <w:jc w:val="left"/>
            </w:pPr>
            <w:r>
              <w:rPr>
                <w:rFonts w:ascii="仿宋_GB2312" w:hAnsi="仿宋_GB2312" w:eastAsia="仿宋_GB2312" w:cs="仿宋_GB2312"/>
              </w:rPr>
              <w:t>（一）违约责任 1、甲乙双方必须遵守本合同并执行合同中的各项规定，保证本合同的正常履行。 2、如因乙方工作人员在履行职务过程中的疏忽、失职、过错等故意或者过失原因给甲方造成全部直接损失、间接损失，包括但不限于甲方本身的财产损失、由此而导致的甲方对任何第三方的法律责任等，乙方对此均应承担全部的赔偿责任。 3、甲方无正当理由拒收的，甲方应偿付合同总价10%的违约金。 4、乙方交付的服务成果不符合合同规定的，乙方应向甲方支付合同总价的10%的违约金，并须在合同规定的时间内提交服务成果给甲方，否则，视作乙方不能交付服务成果而违约，按本条本款下述第“5”项规定由乙方偿付违约赔偿金给甲方。 5、乙方不能交付服务成果或逾期交付服务成果而违约的，除应及时交付外，应向甲方偿付逾期</w:t>
            </w:r>
            <w:r>
              <w:rPr>
                <w:rFonts w:hint="eastAsia" w:ascii="仿宋_GB2312" w:hAnsi="仿宋_GB2312" w:eastAsia="仿宋_GB2312" w:cs="仿宋_GB2312"/>
                <w:color w:val="000000" w:themeColor="text1"/>
                <w:lang w:val="en-US" w:eastAsia="zh-CN"/>
                <w14:textFill>
                  <w14:solidFill>
                    <w14:schemeClr w14:val="tx1"/>
                  </w14:solidFill>
                </w14:textFill>
              </w:rPr>
              <w:t>季度</w:t>
            </w:r>
            <w:r>
              <w:rPr>
                <w:rFonts w:ascii="仿宋_GB2312" w:hAnsi="仿宋_GB2312" w:eastAsia="仿宋_GB2312" w:cs="仿宋_GB2312"/>
                <w:color w:val="000000" w:themeColor="text1"/>
                <w14:textFill>
                  <w14:solidFill>
                    <w14:schemeClr w14:val="tx1"/>
                  </w14:solidFill>
                </w14:textFill>
              </w:rPr>
              <w:t>总额的0.1%/</w:t>
            </w:r>
            <w:r>
              <w:rPr>
                <w:rFonts w:ascii="仿宋_GB2312" w:hAnsi="仿宋_GB2312" w:eastAsia="仿宋_GB2312" w:cs="仿宋_GB2312"/>
              </w:rPr>
              <w:t>天的违约金；逾期超过5天，甲方有权解除合同，乙方则应按合同总价的10%的款额向甲方偿付赔偿金，并须全额退还甲方已经付给乙方的款项及其利息。 6、乙方违反本协议约定的其他义务的，甲方有权要求乙方限期更正并支</w:t>
            </w:r>
            <w:r>
              <w:rPr>
                <w:rFonts w:ascii="仿宋_GB2312" w:hAnsi="仿宋_GB2312" w:eastAsia="仿宋_GB2312" w:cs="仿宋_GB2312"/>
                <w:color w:val="000000" w:themeColor="text1"/>
                <w14:textFill>
                  <w14:solidFill>
                    <w14:schemeClr w14:val="tx1"/>
                  </w14:solidFill>
                </w14:textFill>
              </w:rPr>
              <w:t>付1000元/次的违</w:t>
            </w:r>
            <w:r>
              <w:rPr>
                <w:rFonts w:ascii="仿宋_GB2312" w:hAnsi="仿宋_GB2312" w:eastAsia="仿宋_GB2312" w:cs="仿宋_GB2312"/>
              </w:rPr>
              <w:t>约金，乙方拒不更正或累计违约达到3次的，甲方有权立即解除合同，乙方应向甲方支付</w:t>
            </w:r>
            <w:r>
              <w:rPr>
                <w:rFonts w:ascii="仿宋_GB2312" w:hAnsi="仿宋_GB2312" w:eastAsia="仿宋_GB2312" w:cs="仿宋_GB2312"/>
                <w:color w:val="000000" w:themeColor="text1"/>
                <w14:textFill>
                  <w14:solidFill>
                    <w14:schemeClr w14:val="tx1"/>
                  </w14:solidFill>
                </w14:textFill>
              </w:rPr>
              <w:t>50000元</w:t>
            </w:r>
            <w:r>
              <w:rPr>
                <w:rFonts w:ascii="仿宋_GB2312" w:hAnsi="仿宋_GB2312" w:eastAsia="仿宋_GB2312" w:cs="仿宋_GB2312"/>
              </w:rPr>
              <w:t>违约金，并赔偿甲方全部损失。 7、乙方需保证本合同权利无瑕疵，包括报告所有权及知识产权等权利无瑕疵。如任何第三方经法院（或仲裁机构）裁决有权对上述报告主张权利或其他情况的，乙方除应向甲方返还已收款项外，还应另按合同总价的10%向甲方支付违约金并赔偿因此给甲方造成的一切损失。 8、如果乙方在履行本合同中存在违法、违约、违规或违背社会伦理道德等行为，被媒体以及其他传播途径曝光或被社会关注，有直接或间接的影响甲方的声誉、名誉和社会评价下降可能时，那么甲方有权单方提前解除本合同，乙方应支付甲方本合同总额20%的违约金，并通过相同或类似媒体及传播途径在相同或与影响相当范围内向社会公众澄清事实并恢复甲方的声誉、名誉和社会评价，有关费用由乙方自行承担，同时因此发生的一切责任和损失（包括但不限于甲方的损失和第三人的损失及乙方自己的损失）均由乙方承担和负责，甲方不承担任何责任。 9、重大安全事故：发生重大安全事故（以下情形均视为乙方重大违约的安全责任情形）除承担全部赔偿外，</w:t>
            </w:r>
            <w:r>
              <w:rPr>
                <w:rFonts w:ascii="仿宋_GB2312" w:hAnsi="仿宋_GB2312" w:eastAsia="仿宋_GB2312" w:cs="仿宋_GB2312"/>
                <w:color w:val="auto"/>
              </w:rPr>
              <w:t>另支付违约金10万元/次/人。</w:t>
            </w:r>
            <w:r>
              <w:rPr>
                <w:rFonts w:ascii="仿宋_GB2312" w:hAnsi="仿宋_GB2312" w:eastAsia="仿宋_GB2312" w:cs="仿宋_GB2312"/>
              </w:rPr>
              <w:t xml:space="preserve"> （1）火灾事故：因乙方违规操作、存储易燃物或管理疏忽导致火灾； （2）设备损失：因不当使用、维护缺失或操作失误造成设备重大损坏或报废； （3）人员伤亡：甲方员工因乙方过错导致伤亡（含操作事故、防护缺失等）； （4）衍生损失：因上述事件引发的甲方营业中断、患者投诉、舆情危机等； （5）其他情形：未尽合理注意义务导致的安全事故（如化学品泄漏、交叉感染等）。 10、因乙方环境监测不合格、过失行为、灭菌合格率未达到100%、响应及时率未达到100%、追溯覆盖率未达到100%等直接或间接导致医院感染事件发生的，乙方应立即启动应急处理程序，在5个工作日内完成全面整改，整改期间，甲方可暂停乙方的服务直至整改完成达到甲方整改要求；乙方须承担全部法律责任，包括但不限于医疗损害赔偿、行政处罚责任及其他相关法律后果，并赔偿由此给甲方造成的全部经济损失。具体赔偿如下： 基础赔偿：按照感染人数，以每人</w:t>
            </w:r>
            <w:r>
              <w:rPr>
                <w:rFonts w:ascii="仿宋_GB2312" w:hAnsi="仿宋_GB2312" w:eastAsia="仿宋_GB2312" w:cs="仿宋_GB2312"/>
                <w:color w:val="auto"/>
              </w:rPr>
              <w:t>10万元</w:t>
            </w:r>
            <w:r>
              <w:rPr>
                <w:rFonts w:ascii="仿宋_GB2312" w:hAnsi="仿宋_GB2312" w:eastAsia="仿宋_GB2312" w:cs="仿宋_GB2312"/>
              </w:rPr>
              <w:t>的标准向甲方支付赔偿金； 惩罚性赔偿：除基础赔偿外，乙方还应按照实际损失金额的150%向甲方支付惩罚性赔偿金。 11、因乙方操作不当致使甲方系统出现故障、数据信息丢失、泄漏或混乱等后果，除应在甲方规定的时限内提供系统修复外，还应赔偿由此给甲方造成的全部损失。 12、合同项下约定的违约金如果不足以弥补甲方的各种损失[包括但不限于直接损失(包括患者损害赔偿、医院运营损失、行政处罚损失等）、间接损失（包括商誉修复成本等）、预期可得利益的损失、行政罚款，守约方维权而支出的律师费、诉讼费、鉴定费以及取证发生的费用]，则乙方还应再赔偿甲方的损失。 注：遵守</w:t>
            </w:r>
            <w:r>
              <w:rPr>
                <w:rFonts w:hint="eastAsia" w:ascii="仿宋_GB2312" w:hAnsi="仿宋_GB2312" w:eastAsia="仿宋_GB2312" w:cs="仿宋_GB2312"/>
                <w:lang w:val="en-US" w:eastAsia="zh-CN"/>
              </w:rPr>
              <w:t>采购</w:t>
            </w:r>
            <w:r>
              <w:rPr>
                <w:rFonts w:ascii="仿宋_GB2312" w:hAnsi="仿宋_GB2312" w:eastAsia="仿宋_GB2312" w:cs="仿宋_GB2312"/>
              </w:rPr>
              <w:t>文件规定的各项违约规定及处罚机制，针对相同处罚项目，处罚措施不一致时，以相比后较高的处罚措施为准。 （二）解决争议的方法 合同履行期间,若双方发生争议，可协商或由有关部门调解解决，协商或调解不成的，由当事人向甲方项目所在地人民法院提起诉讼。</w:t>
            </w:r>
          </w:p>
        </w:tc>
      </w:tr>
    </w:tbl>
    <w:p/>
    <w:p>
      <w:pPr>
        <w:rPr>
          <w:rFonts w:hint="eastAsia"/>
          <w:lang w:val="en-US" w:eastAsia="zh-CN"/>
        </w:rPr>
      </w:pPr>
      <w:r>
        <w:rPr>
          <w:rFonts w:hint="eastAsia"/>
          <w:lang w:val="en-US" w:eastAsia="zh-CN"/>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3"/>
        <w:tblW w:w="14654" w:type="dxa"/>
        <w:tblInd w:w="-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7"/>
        <w:gridCol w:w="1118"/>
        <w:gridCol w:w="4028"/>
        <w:gridCol w:w="3496"/>
        <w:gridCol w:w="648"/>
        <w:gridCol w:w="2011"/>
        <w:gridCol w:w="985"/>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4654"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 xml:space="preserve"> </w:t>
            </w:r>
            <w:r>
              <w:rPr>
                <w:rStyle w:val="7"/>
                <w:rFonts w:hint="eastAsia" w:ascii="黑体" w:hAnsi="黑体" w:eastAsia="黑体" w:cs="黑体"/>
                <w:lang w:val="en-US" w:eastAsia="zh-CN" w:bidi="ar"/>
              </w:rPr>
              <w:t xml:space="preserve"> </w:t>
            </w:r>
            <w:r>
              <w:rPr>
                <w:rStyle w:val="7"/>
                <w:rFonts w:hint="eastAsia" w:ascii="黑体" w:hAnsi="黑体" w:eastAsia="黑体" w:cs="黑体"/>
                <w:sz w:val="28"/>
                <w:szCs w:val="28"/>
                <w:lang w:val="en-US" w:eastAsia="zh-CN" w:bidi="ar"/>
              </w:rPr>
              <w:t xml:space="preserve">附件：  </w:t>
            </w:r>
            <w:r>
              <w:rPr>
                <w:rStyle w:val="7"/>
                <w:rFonts w:hint="eastAsia" w:ascii="黑体" w:hAnsi="黑体" w:eastAsia="黑体" w:cs="黑体"/>
                <w:lang w:val="en-US" w:eastAsia="zh-CN" w:bidi="ar"/>
              </w:rPr>
              <w:t xml:space="preserve"> </w:t>
            </w:r>
            <w:r>
              <w:rPr>
                <w:rStyle w:val="7"/>
                <w:lang w:val="en-US" w:eastAsia="zh-CN" w:bidi="ar"/>
              </w:rPr>
              <w:t xml:space="preserve">                                            </w:t>
            </w:r>
            <w:r>
              <w:rPr>
                <w:rStyle w:val="8"/>
                <w:lang w:val="en-US" w:eastAsia="zh-CN" w:bidi="ar"/>
              </w:rPr>
              <w:t xml:space="preserve">   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347"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考核维度</w:t>
            </w:r>
          </w:p>
        </w:tc>
        <w:tc>
          <w:tcPr>
            <w:tcW w:w="111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考核项目</w:t>
            </w:r>
          </w:p>
        </w:tc>
        <w:tc>
          <w:tcPr>
            <w:tcW w:w="40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考核内容</w:t>
            </w:r>
          </w:p>
        </w:tc>
        <w:tc>
          <w:tcPr>
            <w:tcW w:w="349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6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2011"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扣分情况</w:t>
            </w:r>
          </w:p>
        </w:tc>
        <w:tc>
          <w:tcPr>
            <w:tcW w:w="98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w:t>
            </w:r>
          </w:p>
        </w:tc>
        <w:tc>
          <w:tcPr>
            <w:tcW w:w="1021"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服务质量（40分）</w:t>
            </w:r>
          </w:p>
        </w:tc>
        <w:tc>
          <w:tcPr>
            <w:tcW w:w="111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灭菌效果</w:t>
            </w:r>
          </w:p>
        </w:tc>
        <w:tc>
          <w:tcPr>
            <w:tcW w:w="402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灭菌合格率是否达到100%</w:t>
            </w:r>
          </w:p>
        </w:tc>
        <w:tc>
          <w:tcPr>
            <w:tcW w:w="349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达标得8分，未达标不得分，且按合同约定追责</w:t>
            </w:r>
          </w:p>
        </w:tc>
        <w:tc>
          <w:tcPr>
            <w:tcW w:w="6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1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响应及时性</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紧急服务3小时内送达，突发状况10分钟内对接</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达标得8分，每逾期1次扣4分，扣完为止</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追溯能力</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电子追溯系统全覆盖，数据完整可查</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达标得8分，未全覆盖或数据缺失1处扣2分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环境监测</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每季度微生物抽检合格，报告按时提交</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达标得8分，不合格或未按时提交不得分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器械管理</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器械完整性、清洗质量达标，无损坏丢失</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达标得8分，出现1次问题扣2分，扣完为止</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服务规范（30分）</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标准执行</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符合国家及行业相关标准规范（如WS310系列、GB/T 19633等）</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达标得6分，违反1项扣2分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辅材及包装</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辅材质量、包装符合规定标准</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达标得6分，不合格1次扣2分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物流服务</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转运车辆合规、收发交接规范、工具每次使用后清洗消毒</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达标得6分，违规1次扣2分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人员配置</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护士、消毒员等人员资质及数量满足要求</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达标得6分，资质不符或数量不足1项扣3分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应急保障</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停水停电等情况下持续服务，不可抗力应急2小时内响应</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达标得6分，未达标1次扣3分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管理要求（20分）</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数据管理</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监测资料按期限保存（灭菌资料≥3年，清洗资料≥6个月），按需24小时内提供数据</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达标得5分，未达标1次扣2分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保密义务</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未泄露项目相关资料</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达标得5分，泄露1次不得分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耗材管理</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未未经同意擅自变更消毒耗材品牌</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达标得5分，违规1次不得分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安全规范</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符合安全生产要求，无安全事故及隐患</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达标得5分，发生1次安全隐患扣2分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47"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沟通协作（10分）</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日常沟通</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专人对接日常事务及应急处理，沟通记录完整</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达标得5分，未专人对接或记录缺失扣3分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4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整改配合</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考核不合格后按时提交整改计划并落实</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达标得5分，未按时提交或未落实整改扣5分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47"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减分项</w:t>
            </w:r>
          </w:p>
        </w:tc>
        <w:tc>
          <w:tcPr>
            <w:tcW w:w="111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重大违规</w:t>
            </w:r>
          </w:p>
        </w:tc>
        <w:tc>
          <w:tcPr>
            <w:tcW w:w="4028"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发生重大质量安全事故、医院感染事件等</w:t>
            </w:r>
          </w:p>
        </w:tc>
        <w:tc>
          <w:tcPr>
            <w:tcW w:w="349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按合同约定追责，此项按0分计，并扣除相应服务费用</w:t>
            </w:r>
          </w:p>
        </w:tc>
        <w:tc>
          <w:tcPr>
            <w:tcW w:w="64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01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4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47" w:type="dxa"/>
            <w:tcBorders>
              <w:top w:val="single" w:color="000000" w:sz="4" w:space="0"/>
              <w:left w:val="single" w:color="000000" w:sz="8"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考核结果</w:t>
            </w:r>
          </w:p>
        </w:tc>
        <w:tc>
          <w:tcPr>
            <w:tcW w:w="13307" w:type="dxa"/>
            <w:gridSpan w:val="7"/>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□合格（80分及以上） □不合格（80分以下）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98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考核人员签字：</w:t>
            </w:r>
          </w:p>
        </w:tc>
        <w:tc>
          <w:tcPr>
            <w:tcW w:w="4665" w:type="dxa"/>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考核日期：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989" w:type="dxa"/>
            <w:gridSpan w:val="4"/>
            <w:tcBorders>
              <w:top w:val="nil"/>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供应商签字：</w:t>
            </w:r>
          </w:p>
        </w:tc>
        <w:tc>
          <w:tcPr>
            <w:tcW w:w="4665" w:type="dxa"/>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确认日期：  年   月   日</w:t>
            </w:r>
          </w:p>
        </w:tc>
      </w:tr>
    </w:tbl>
    <w:p>
      <w:pPr>
        <w:rPr>
          <w:rFonts w:hint="eastAsia"/>
          <w:lang w:val="en-US" w:eastAsia="zh-CN"/>
        </w:rPr>
      </w:pPr>
    </w:p>
    <w:sectPr>
      <w:pgSz w:w="16838" w:h="11906" w:orient="landscape"/>
      <w:pgMar w:top="1633" w:right="1440" w:bottom="112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7815F"/>
    <w:multiLevelType w:val="singleLevel"/>
    <w:tmpl w:val="E937815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ZmYyMmVjMWU5ZjNiZjAwZTM4N2NlY2JmMTE4YzEifQ=="/>
  </w:docVars>
  <w:rsids>
    <w:rsidRoot w:val="00000000"/>
    <w:rsid w:val="0A7360B4"/>
    <w:rsid w:val="1D49505F"/>
    <w:rsid w:val="1E560EE4"/>
    <w:rsid w:val="2BD80E5D"/>
    <w:rsid w:val="40093884"/>
    <w:rsid w:val="456D21BF"/>
    <w:rsid w:val="4B06733D"/>
    <w:rsid w:val="52EB4AEE"/>
    <w:rsid w:val="5EAC1B52"/>
    <w:rsid w:val="621E68C3"/>
    <w:rsid w:val="678262E3"/>
    <w:rsid w:val="6C7FCDD4"/>
    <w:rsid w:val="6F454BD7"/>
    <w:rsid w:val="977FBF49"/>
    <w:rsid w:val="F7DBB4E3"/>
    <w:rsid w:val="F7FDF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null3"/>
    <w:hidden/>
    <w:qFormat/>
    <w:uiPriority w:val="0"/>
    <w:rPr>
      <w:rFonts w:hint="eastAsia" w:asciiTheme="minorHAnsi" w:hAnsiTheme="minorHAnsi" w:eastAsiaTheme="minorEastAsia" w:cstheme="minorBidi"/>
      <w:lang w:val="en-US" w:eastAsia="zh-Hans"/>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21"/>
    <w:basedOn w:val="5"/>
    <w:qFormat/>
    <w:uiPriority w:val="0"/>
    <w:rPr>
      <w:rFonts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7731</Words>
  <Characters>8168</Characters>
  <Lines>0</Lines>
  <Paragraphs>0</Paragraphs>
  <TotalTime>158</TotalTime>
  <ScaleCrop>false</ScaleCrop>
  <LinksUpToDate>false</LinksUpToDate>
  <CharactersWithSpaces>8368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2026-01-23T02:49:00Z</dcterms:created>
  <dc:creator>Administrator</dc:creator>
  <cp:lastModifiedBy>当年月色不如今</cp:lastModifiedBy>
  <cp:lastPrinted>2026-01-27T18:10:00Z</cp:lastPrinted>
  <dcterms:modified xsi:type="dcterms:W3CDTF">2026-01-28T02:02:47Z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eyJoZGlkIjoiNDAyZTVkNGM1YmRkYjQ4YmE0NWJkZDc1MjYzZWY1ZGYiLCJ1c2VySWQiOiI3NDUwNDg3ODUifQ==</vt:lpwstr>
  </property>
  <property fmtid="{D5CDD505-2E9C-101B-9397-08002B2CF9AE}" pid="4" name="ICV">
    <vt:lpwstr>1F70643FAD83C1D954CB7669F34818A4</vt:lpwstr>
  </property>
</Properties>
</file>